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9"/>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13                                    </w:t>
      </w:r>
      <w:bookmarkStart w:id="5" w:name="_GoBack"/>
      <w:bookmarkEnd w:id="5"/>
      <w:r>
        <w:rPr>
          <w:rFonts w:hint="eastAsia" w:ascii="Arial" w:hAnsi="Arial" w:cs="Arial"/>
          <w:b/>
          <w:sz w:val="24"/>
          <w:szCs w:val="24"/>
          <w:lang w:val="en-US" w:eastAsia="zh-CN"/>
        </w:rPr>
        <w:t>R4-2419165</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Orlando, US, 18th – 22nd November, 2024</w:t>
      </w:r>
    </w:p>
    <w:p>
      <w:pPr>
        <w:pStyle w:val="19"/>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9"/>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MIMO layer evaluation for 6Rx UE</w:t>
      </w:r>
    </w:p>
    <w:p>
      <w:pPr>
        <w:widowControl w:val="0"/>
        <w:tabs>
          <w:tab w:val="left" w:pos="1985"/>
        </w:tabs>
        <w:spacing w:before="120" w:after="120"/>
        <w:outlineLvl w:val="0"/>
        <w:rPr>
          <w:rStyle w:val="62"/>
          <w:rFonts w:hint="default" w:eastAsia="宋体"/>
          <w:b/>
          <w:lang w:val="en-US" w:eastAsia="zh-CN"/>
        </w:rPr>
      </w:pPr>
      <w:r>
        <w:rPr>
          <w:rFonts w:ascii="Arial" w:hAnsi="Arial"/>
          <w:b/>
          <w:sz w:val="24"/>
        </w:rPr>
        <w:t xml:space="preserve">Source: </w:t>
      </w:r>
      <w:r>
        <w:rPr>
          <w:rFonts w:ascii="Arial" w:hAnsi="Arial"/>
          <w:b/>
          <w:sz w:val="24"/>
        </w:rPr>
        <w:tab/>
      </w:r>
      <w:r>
        <w:rPr>
          <w:rStyle w:val="62"/>
          <w:rFonts w:hint="eastAsia"/>
          <w:b/>
        </w:rPr>
        <w:t>ZTE Corporation</w:t>
      </w:r>
      <w:r>
        <w:rPr>
          <w:rStyle w:val="62"/>
          <w:rFonts w:hint="eastAsia"/>
          <w:b/>
          <w:lang w:val="en-US" w:eastAsia="zh-CN"/>
        </w:rPr>
        <w:t>, Sanechips</w:t>
      </w:r>
    </w:p>
    <w:p>
      <w:pPr>
        <w:widowControl w:val="0"/>
        <w:tabs>
          <w:tab w:val="left" w:pos="1985"/>
        </w:tabs>
        <w:spacing w:before="120" w:after="120"/>
        <w:outlineLvl w:val="0"/>
        <w:rPr>
          <w:rStyle w:val="62"/>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7.1.1.3.2</w:t>
      </w:r>
    </w:p>
    <w:p>
      <w:pPr>
        <w:widowControl w:val="0"/>
        <w:tabs>
          <w:tab w:val="left" w:pos="1985"/>
        </w:tabs>
        <w:spacing w:before="120" w:after="120"/>
        <w:ind w:left="1980" w:hanging="1980"/>
        <w:outlineLvl w:val="0"/>
        <w:rPr>
          <w:rStyle w:val="62"/>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#103 meeting, the new WID of UE RF enhancements for NR FR1/FR2 and EN-DC, Phase 4 was approved in [1], wherein the objectives related to 6Rx for handheld UE and FWA UE are listed as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Cs w:val="20"/>
              </w:rPr>
            </w:pPr>
            <w:r>
              <w:rPr>
                <w:rFonts w:hint="eastAsia"/>
                <w:b/>
                <w:szCs w:val="20"/>
              </w:rPr>
              <w:t>6Rx</w:t>
            </w:r>
            <w:r>
              <w:rPr>
                <w:rFonts w:hint="default"/>
                <w:b/>
                <w:szCs w:val="20"/>
              </w:rPr>
              <w:t xml:space="preserve"> for handheld and FWA UE</w:t>
            </w:r>
          </w:p>
          <w:p>
            <w:pPr>
              <w:pStyle w:val="36"/>
              <w:keepNext w:val="0"/>
              <w:keepLines w:val="0"/>
              <w:widowControl/>
              <w:numPr>
                <w:ilvl w:val="0"/>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eastAsia" w:ascii="Times New Roman" w:hAnsi="Times New Roman" w:cs="Times New Roman"/>
                <w:sz w:val="20"/>
                <w:szCs w:val="20"/>
              </w:rPr>
              <w:t>Specify</w:t>
            </w:r>
            <w:r>
              <w:rPr>
                <w:rFonts w:hint="default" w:ascii="Times New Roman" w:hAnsi="Times New Roman" w:cs="Times New Roman"/>
                <w:sz w:val="20"/>
                <w:szCs w:val="20"/>
              </w:rPr>
              <w:t xml:space="preserve"> the core requirements to enable 6Rx for higher frequency bands (&gt;2.5GHz) targeting at support of handheld UE for NR FR1 single carrier scenario</w:t>
            </w:r>
          </w:p>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eastAsia" w:ascii="Times New Roman" w:hAnsi="Times New Roman" w:cs="Times New Roman"/>
                <w:sz w:val="20"/>
                <w:szCs w:val="20"/>
              </w:rPr>
              <w:t>E</w:t>
            </w:r>
            <w:r>
              <w:rPr>
                <w:rFonts w:hint="default" w:ascii="Times New Roman" w:hAnsi="Times New Roman" w:cs="Times New Roman"/>
                <w:sz w:val="20"/>
                <w:szCs w:val="20"/>
              </w:rPr>
              <w:t xml:space="preserve">xample bands: </w:t>
            </w:r>
            <w:bookmarkStart w:id="3" w:name="OLE_LINK80"/>
            <w:r>
              <w:rPr>
                <w:rFonts w:hint="default" w:ascii="Times New Roman" w:hAnsi="Times New Roman" w:cs="Times New Roman"/>
                <w:sz w:val="20"/>
                <w:szCs w:val="20"/>
              </w:rPr>
              <w:t>n41, n77/n78, n79, n104</w:t>
            </w:r>
          </w:p>
          <w:bookmarkEnd w:id="3"/>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eastAsia" w:ascii="Times New Roman" w:hAnsi="Times New Roman" w:cs="Times New Roman"/>
                <w:sz w:val="20"/>
                <w:szCs w:val="20"/>
              </w:rPr>
              <w:t>S</w:t>
            </w:r>
            <w:r>
              <w:rPr>
                <w:rFonts w:hint="default" w:ascii="Times New Roman" w:hAnsi="Times New Roman" w:cs="Times New Roman"/>
                <w:sz w:val="20"/>
                <w:szCs w:val="20"/>
              </w:rPr>
              <w:t>upport 4 MIMO layers at least, and study the gain and feasibility and if feasible, support 6 MIMO layers</w:t>
            </w:r>
          </w:p>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Specify the Rx requirements including reference sensitivity requirements for support 6Rx</w:t>
            </w:r>
          </w:p>
          <w:p>
            <w:pPr>
              <w:pStyle w:val="36"/>
              <w:keepNext w:val="0"/>
              <w:keepLines w:val="0"/>
              <w:widowControl/>
              <w:numPr>
                <w:ilvl w:val="2"/>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Note: the specified requirements can be applicable to both handheld UE and FWA devices</w:t>
            </w:r>
          </w:p>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bookmarkStart w:id="4" w:name="OLE_LINK57"/>
            <w:r>
              <w:rPr>
                <w:rFonts w:hint="default" w:ascii="Times New Roman" w:hAnsi="Times New Roman" w:cs="Times New Roman"/>
                <w:sz w:val="20"/>
                <w:szCs w:val="20"/>
              </w:rPr>
              <w:t>Specify the requirements to support SRS antenna switching including t1r6, t2r6, t3r6, t4r6 depending on UE capability</w:t>
            </w:r>
          </w:p>
          <w:bookmarkEnd w:id="4"/>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cs="Times New Roman"/>
                <w:sz w:val="20"/>
                <w:szCs w:val="20"/>
                <w:vertAlign w:val="baseline"/>
                <w:lang w:val="en-US" w:eastAsia="zh-CN"/>
              </w:rPr>
            </w:pPr>
            <w:r>
              <w:rPr>
                <w:rFonts w:hint="eastAsia" w:ascii="Times New Roman" w:hAnsi="Times New Roman" w:cs="Times New Roman"/>
                <w:sz w:val="20"/>
                <w:szCs w:val="20"/>
              </w:rPr>
              <w:t>Study the issue of insertion loss imbalance across SRS ports</w:t>
            </w:r>
            <w:r>
              <w:rPr>
                <w:rFonts w:hint="default" w:ascii="Times New Roman" w:hAnsi="Times New Roman" w:cs="Times New Roman"/>
                <w:sz w:val="20"/>
                <w:szCs w:val="20"/>
              </w:rPr>
              <w:t>,</w:t>
            </w:r>
            <w:r>
              <w:rPr>
                <w:rFonts w:hint="eastAsia" w:ascii="Times New Roman" w:hAnsi="Times New Roman" w:cs="Times New Roman"/>
                <w:sz w:val="20"/>
                <w:szCs w:val="20"/>
              </w:rPr>
              <w:t xml:space="preserve"> and </w:t>
            </w:r>
            <w:r>
              <w:rPr>
                <w:rFonts w:hint="default" w:ascii="Times New Roman" w:hAnsi="Times New Roman" w:cs="Times New Roman"/>
                <w:sz w:val="20"/>
                <w:szCs w:val="20"/>
              </w:rPr>
              <w:t xml:space="preserve">if justified, </w:t>
            </w:r>
            <w:r>
              <w:rPr>
                <w:rFonts w:hint="eastAsia" w:ascii="Times New Roman" w:hAnsi="Times New Roman" w:cs="Times New Roman"/>
                <w:sz w:val="20"/>
                <w:szCs w:val="20"/>
              </w:rPr>
              <w:t>specify the</w:t>
            </w:r>
            <w:r>
              <w:rPr>
                <w:rFonts w:hint="default" w:ascii="Times New Roman" w:hAnsi="Times New Roman" w:cs="Times New Roman"/>
                <w:sz w:val="20"/>
                <w:szCs w:val="20"/>
              </w:rPr>
              <w:t xml:space="preserve"> corresponding</w:t>
            </w:r>
            <w:r>
              <w:rPr>
                <w:rFonts w:hint="eastAsia" w:ascii="Times New Roman" w:hAnsi="Times New Roman" w:cs="Times New Roman"/>
                <w:sz w:val="20"/>
                <w:szCs w:val="20"/>
              </w:rPr>
              <w:t xml:space="preserve"> solution</w:t>
            </w:r>
            <w:r>
              <w:rPr>
                <w:rFonts w:hint="default" w:ascii="Times New Roman" w:hAnsi="Times New Roman" w:cs="Times New Roman"/>
                <w:sz w:val="20"/>
                <w:szCs w:val="20"/>
              </w:rPr>
              <w:t>.</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During the last meeting, some conclusions has been reached for 6Rx UE MIMO layer [2]. In the following section, we will provide the detailed discussions for MIMO layer evaluation with 6Rx.</w:t>
      </w:r>
    </w:p>
    <w:p>
      <w:pPr>
        <w:widowControl w:val="0"/>
        <w:pBdr>
          <w:top w:val="single" w:color="auto" w:sz="12" w:space="3"/>
        </w:pBdr>
        <w:spacing w:beforeLines="0" w:afterLines="0"/>
        <w:jc w:val="left"/>
        <w:outlineLvl w:val="0"/>
        <w:rPr>
          <w:rFonts w:hint="eastAsia" w:cs="Times New Roman"/>
          <w:b w:val="0"/>
          <w:bCs w:val="0"/>
          <w:kern w:val="0"/>
          <w:sz w:val="20"/>
          <w:szCs w:val="20"/>
          <w:highlight w:val="none"/>
          <w:lang w:val="en-US" w:eastAsia="zh-CN"/>
        </w:rPr>
      </w:pPr>
      <w:r>
        <w:rPr>
          <w:rFonts w:hint="eastAsia"/>
          <w:b/>
          <w:kern w:val="0"/>
          <w:sz w:val="24"/>
          <w:szCs w:val="24"/>
        </w:rPr>
        <w:t xml:space="preserve">2 </w:t>
      </w:r>
      <w:r>
        <w:rPr>
          <w:b/>
          <w:kern w:val="0"/>
          <w:sz w:val="24"/>
          <w:szCs w:val="24"/>
        </w:rPr>
        <w:t>Discussion</w:t>
      </w:r>
    </w:p>
    <w:p>
      <w:pPr>
        <w:rPr>
          <w:rFonts w:hint="eastAsia" w:eastAsiaTheme="minorEastAsia"/>
          <w:b/>
          <w:sz w:val="18"/>
          <w:szCs w:val="18"/>
          <w:u w:val="single"/>
          <w:lang w:val="en-US" w:eastAsia="zh-CN"/>
        </w:rPr>
      </w:pPr>
      <w:r>
        <w:rPr>
          <w:rFonts w:hint="eastAsia" w:eastAsiaTheme="minorEastAsia"/>
          <w:b/>
          <w:sz w:val="18"/>
          <w:szCs w:val="18"/>
          <w:u w:val="single"/>
          <w:lang w:val="en-US" w:eastAsia="ko-KR"/>
        </w:rPr>
        <w:t>6-layer Support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 w:val="21"/>
                <w:szCs w:val="21"/>
                <w:lang w:eastAsia="zh-CN"/>
              </w:rPr>
            </w:pPr>
            <w:r>
              <w:rPr>
                <w:rFonts w:hint="default"/>
                <w:b/>
                <w:sz w:val="21"/>
                <w:szCs w:val="21"/>
                <w:lang w:eastAsia="zh-CN"/>
              </w:rPr>
              <w:t>Way Forward</w:t>
            </w:r>
            <w:r>
              <w:rPr>
                <w:rFonts w:hint="default"/>
                <w:sz w:val="21"/>
                <w:szCs w:val="21"/>
                <w:lang w:eastAsia="zh-CN"/>
              </w:rPr>
              <w:t>: RAN4 to further discuss the following options (options are not necessarily mutually exclusive).</w:t>
            </w:r>
          </w:p>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Option 1: 6-layer support is feasible for handheld and FWA based on some company evaluations considering realistic antenna correlation assumptions and deployment scenarios.</w:t>
            </w:r>
          </w:p>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Option 2: 6-layer support is feasible for FWA devices.</w:t>
            </w:r>
          </w:p>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Option 3: Companies to further discuss and align on the feasibility criteria and simulation assumptions by RAN4#113 to evaluate 6-Layer feasibility for handhelds using the following as a starting point.</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Feasibility criteria</w:t>
            </w:r>
          </w:p>
          <w:p>
            <w:pPr>
              <w:pStyle w:val="50"/>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Consider 4-layer vs 6-layer throughput performance.</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Simulation assumptions</w:t>
            </w:r>
          </w:p>
          <w:p>
            <w:pPr>
              <w:pStyle w:val="50"/>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Only consider link-level simulation for performance evaluations.</w:t>
            </w:r>
          </w:p>
          <w:p>
            <w:pPr>
              <w:pStyle w:val="50"/>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Updated simulation assumptions are provided in Annex A for discussions on alignment at RAN4#113 and can be used by companies to provide simulation results at RAN4#113 for discussion. Companies to clarify and justify (e.g., where the number comes from) the settings used in the simulation assumptions for BS correlation matrix and Tx EVM.</w:t>
            </w:r>
          </w:p>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Option 4: 6-layer support is not feasible for handheld UEs.</w:t>
            </w:r>
          </w:p>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Option 5: Companies to further discuss the following aspect of 6-layer support.</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If the handheld feasibility is confirmed, then the handheld and FWA devices will share the same 6-layer requirements.</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eastAsia"/>
                <w:b/>
                <w:bCs/>
                <w:sz w:val="24"/>
                <w:szCs w:val="24"/>
                <w:vertAlign w:val="baseline"/>
                <w:lang w:val="pt-BR" w:eastAsia="zh-CN"/>
              </w:rPr>
            </w:pPr>
            <w:r>
              <w:rPr>
                <w:rFonts w:hint="default"/>
                <w:sz w:val="21"/>
                <w:szCs w:val="21"/>
                <w:lang w:eastAsia="zh-CN"/>
              </w:rPr>
              <w:t>-</w:t>
            </w:r>
            <w:r>
              <w:rPr>
                <w:rFonts w:hint="default"/>
                <w:sz w:val="21"/>
                <w:szCs w:val="21"/>
                <w:lang w:eastAsia="zh-CN"/>
              </w:rPr>
              <w:tab/>
            </w:r>
            <w:r>
              <w:rPr>
                <w:rFonts w:hint="default"/>
                <w:sz w:val="21"/>
                <w:szCs w:val="21"/>
                <w:lang w:eastAsia="zh-CN"/>
              </w:rPr>
              <w:t>If the handheld feasibility is not confirmed, 6-layer requirements will be specified for FWA device only.</w:t>
            </w:r>
          </w:p>
        </w:tc>
      </w:tr>
    </w:tbl>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last meeting, RAN4 discussed the detailed simulation assumptions for 6Rx, as shown in the appendix. Regarding the assumptions, the most critical is the UE correlation matrix, which was also the subject of extensive discussion at the time. Ultimately, RAN4 presented two candidate options for evaluation. It is obvious that there are still significant difference between these two correlation matrices. We understand that the antenna correlation depends on the implementation, being related to the design and the placement of the antennas, as well as the type of the handle UE. However, the gap between these varying implementations might lead to divergent in the evaluation results, which is also related to BS correlation matrix. There is no doubt that the conclusion of a feasibility study for 6 MIMO layers would also vary. </w:t>
      </w:r>
    </w:p>
    <w:p>
      <w:pPr>
        <w:keepNext w:val="0"/>
        <w:keepLines w:val="0"/>
        <w:pageBreakBefore w:val="0"/>
        <w:widowControl w:val="0"/>
        <w:kinsoku/>
        <w:wordWrap/>
        <w:topLinePunct w:val="0"/>
        <w:bidi w:val="0"/>
        <w:rPr>
          <w:rFonts w:hint="eastAsia"/>
          <w:b/>
          <w:bCs/>
          <w:i/>
          <w:iCs/>
          <w:szCs w:val="21"/>
          <w:lang w:val="en-US" w:eastAsia="zh-CN"/>
        </w:rPr>
      </w:pPr>
      <w:r>
        <w:rPr>
          <w:rFonts w:hint="eastAsia"/>
          <w:b/>
          <w:bCs/>
          <w:i/>
          <w:iCs/>
          <w:szCs w:val="21"/>
          <w:lang w:val="en-US" w:eastAsia="zh-CN"/>
        </w:rPr>
        <w:t>Observation 1. There are significant differences between the antenna correlation matrices.</w:t>
      </w:r>
    </w:p>
    <w:p>
      <w:pPr>
        <w:keepNext w:val="0"/>
        <w:keepLines w:val="0"/>
        <w:pageBreakBefore w:val="0"/>
        <w:widowControl w:val="0"/>
        <w:kinsoku/>
        <w:wordWrap/>
        <w:topLinePunct w:val="0"/>
        <w:bidi w:val="0"/>
        <w:rPr>
          <w:rFonts w:hint="default" w:ascii="Times New Roman" w:hAnsi="Times New Roman"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Regarding antenna correlation matrix, from legacy testing perspective, RAN4 only defined low, medium A and B, high MIMO correlation matrices for ULA and X-pol from LTE. From our understanding, the correlation matrix currently employed by RAN4 is based on the Kronecker channel model, where the correlation between the transmitter and receiver can be decoupled. Consequently, the channel spatial matrix can be decomposed into the Kronecker form of the transmitter side and receiver side correlation matrices, we merely need to calculate the corresponding correlation matrices according to parameters </w:t>
      </w:r>
      <w:r>
        <w:rPr>
          <w:rFonts w:hint="default" w:ascii="Times New Roman" w:hAnsi="Times New Roman" w:cs="Times New Roman"/>
          <w:b w:val="0"/>
          <w:bCs w:val="0"/>
          <w:kern w:val="0"/>
          <w:sz w:val="20"/>
          <w:szCs w:val="20"/>
          <w:highlight w:val="none"/>
          <w:lang w:val="en-US" w:eastAsia="zh-CN"/>
        </w:rPr>
        <w:t>α</w:t>
      </w:r>
      <w:r>
        <w:rPr>
          <w:rFonts w:hint="eastAsia" w:cs="Times New Roman"/>
          <w:b w:val="0"/>
          <w:bCs w:val="0"/>
          <w:kern w:val="0"/>
          <w:sz w:val="20"/>
          <w:szCs w:val="20"/>
          <w:highlight w:val="none"/>
          <w:lang w:val="en-US" w:eastAsia="zh-CN"/>
        </w:rPr>
        <w:t xml:space="preserve"> and </w:t>
      </w:r>
      <w:r>
        <w:rPr>
          <w:rFonts w:hint="default" w:ascii="Times New Roman" w:hAnsi="Times New Roman" w:cs="Times New Roman"/>
          <w:b w:val="0"/>
          <w:bCs w:val="0"/>
          <w:kern w:val="0"/>
          <w:sz w:val="20"/>
          <w:szCs w:val="20"/>
          <w:highlight w:val="none"/>
          <w:lang w:val="en-US" w:eastAsia="zh-CN"/>
        </w:rPr>
        <w:t>β</w:t>
      </w:r>
      <w:r>
        <w:rPr>
          <w:rFonts w:hint="eastAsia" w:ascii="Times New Roman" w:hAnsi="Times New Roman" w:cs="Times New Roman"/>
          <w:b w:val="0"/>
          <w:bCs w:val="0"/>
          <w:kern w:val="0"/>
          <w:sz w:val="20"/>
          <w:szCs w:val="20"/>
          <w:highlight w:val="none"/>
          <w:lang w:val="en-US" w:eastAsia="zh-CN"/>
        </w:rPr>
        <w:t>, which defined in TS38.101-4 section B.2.</w:t>
      </w:r>
    </w:p>
    <w:p>
      <w:pPr>
        <w:keepNext w:val="0"/>
        <w:keepLines w:val="0"/>
        <w:pageBreakBefore w:val="0"/>
        <w:widowControl w:val="0"/>
        <w:kinsoku/>
        <w:wordWrap/>
        <w:topLinePunct w:val="0"/>
        <w:bidi w:val="0"/>
        <w:rPr>
          <w:rFonts w:hint="default" w:ascii="Times New Roman" w:hAnsi="Times New Roman" w:cs="Times New Roman"/>
          <w:b w:val="0"/>
          <w:bCs w:val="0"/>
          <w:strike w:val="0"/>
          <w:dstrike w:val="0"/>
          <w:kern w:val="0"/>
          <w:sz w:val="20"/>
          <w:szCs w:val="20"/>
          <w:highlight w:val="none"/>
          <w:lang w:val="en-US" w:eastAsia="zh-CN"/>
        </w:rPr>
      </w:pPr>
      <w:r>
        <w:rPr>
          <w:rFonts w:hint="eastAsia" w:ascii="Times New Roman" w:hAnsi="Times New Roman" w:cs="Times New Roman"/>
          <w:b w:val="0"/>
          <w:bCs w:val="0"/>
          <w:strike w:val="0"/>
          <w:dstrike w:val="0"/>
          <w:kern w:val="0"/>
          <w:sz w:val="20"/>
          <w:szCs w:val="20"/>
          <w:highlight w:val="none"/>
          <w:lang w:val="en-US" w:eastAsia="zh-CN"/>
        </w:rPr>
        <w:t xml:space="preserve">And now, we cam directly derive the correlation matrix based on the results of actual measurements. We understand that is due to the specific implementation method. However, different types have varying implementation approaches, which also means that the antenna correlation matrices are not same. From RAN4 testability perspective, this will significantly increase the complexity and burden of testing. To avoid the potential testing issues, RAN4 might need to seek a compromise for addressing the antenna correlation issues. On the other side, if requirements ultimately defined based on practical correlations, will future requirements for multiple antennas also need to be specified according to implementation details rather than following the conventional methods of RAN4. </w:t>
      </w:r>
    </w:p>
    <w:p>
      <w:pPr>
        <w:keepNext w:val="0"/>
        <w:keepLines w:val="0"/>
        <w:pageBreakBefore w:val="0"/>
        <w:widowControl w:val="0"/>
        <w:kinsoku/>
        <w:wordWrap/>
        <w:topLinePunct w:val="0"/>
        <w:bidi w:val="0"/>
        <w:rPr>
          <w:rFonts w:hint="eastAsia"/>
          <w:b/>
          <w:bCs/>
          <w:i/>
          <w:iCs/>
          <w:strike w:val="0"/>
          <w:dstrike w:val="0"/>
          <w:szCs w:val="21"/>
          <w:lang w:val="en-US" w:eastAsia="zh-CN"/>
        </w:rPr>
      </w:pPr>
      <w:r>
        <w:rPr>
          <w:rFonts w:hint="eastAsia"/>
          <w:b/>
          <w:bCs/>
          <w:i/>
          <w:iCs/>
          <w:strike w:val="0"/>
          <w:dstrike w:val="0"/>
          <w:szCs w:val="21"/>
          <w:lang w:val="en-US" w:eastAsia="zh-CN"/>
        </w:rPr>
        <w:t xml:space="preserve">Observation 2. Different UE types have different implementation methods, which also have different antenna correlation. </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We also evaluated the performance of the 4-layer and 6 MIMO layer with different antenna correlation and adaptive MCS, which as shown in following Table 1. Compared to 4 layers, we observed some gain of 6 layers when employing adaptive MCS. Based on our simulation results, we believe that there are certain benefits to consider 6 layers. </w:t>
      </w:r>
    </w:p>
    <w:p>
      <w:pPr>
        <w:keepNext w:val="0"/>
        <w:keepLines w:val="0"/>
        <w:pageBreakBefore w:val="0"/>
        <w:widowControl w:val="0"/>
        <w:kinsoku/>
        <w:wordWrap/>
        <w:topLinePunct w:val="0"/>
        <w:bidi w:val="0"/>
        <w:rPr>
          <w:rFonts w:hint="eastAsia"/>
          <w:b/>
          <w:bCs/>
          <w:i/>
          <w:iCs/>
          <w:strike w:val="0"/>
          <w:dstrike w:val="0"/>
          <w:szCs w:val="21"/>
          <w:lang w:val="en-US" w:eastAsia="zh-CN"/>
        </w:rPr>
      </w:pPr>
      <w:r>
        <w:rPr>
          <w:rFonts w:hint="eastAsia"/>
          <w:b/>
          <w:bCs/>
          <w:i/>
          <w:iCs/>
          <w:strike w:val="0"/>
          <w:dstrike w:val="0"/>
          <w:szCs w:val="21"/>
          <w:lang w:val="en-US" w:eastAsia="zh-CN"/>
        </w:rPr>
        <w:t xml:space="preserve">Proposal 1. From our simulation results, 6 MIMO Layers shall be considered as an optional feature. </w:t>
      </w:r>
    </w:p>
    <w:p>
      <w:pPr>
        <w:keepNext w:val="0"/>
        <w:keepLines w:val="0"/>
        <w:pageBreakBefore w:val="0"/>
        <w:widowControl w:val="0"/>
        <w:kinsoku/>
        <w:wordWrap/>
        <w:topLinePunct w:val="0"/>
        <w:bidi w:val="0"/>
        <w:rPr>
          <w:rFonts w:hint="default" w:cs="Times New Roman"/>
          <w:b w:val="0"/>
          <w:bCs w:val="0"/>
          <w:strike w:val="0"/>
          <w:dstrike w:val="0"/>
          <w:kern w:val="0"/>
          <w:sz w:val="20"/>
          <w:szCs w:val="20"/>
          <w:highlight w:val="none"/>
          <w:lang w:val="en-US" w:eastAsia="zh-CN"/>
        </w:rPr>
      </w:pPr>
    </w:p>
    <w:p>
      <w:pPr>
        <w:keepNext w:val="0"/>
        <w:keepLines w:val="0"/>
        <w:pageBreakBefore w:val="0"/>
        <w:widowControl w:val="0"/>
        <w:kinsoku/>
        <w:wordWrap/>
        <w:topLinePunct w:val="0"/>
        <w:bidi w:val="0"/>
        <w:rPr>
          <w:rFonts w:hint="default"/>
          <w:b/>
          <w:bCs/>
          <w:i/>
          <w:iCs/>
          <w:strike w:val="0"/>
          <w:dstrike w:val="0"/>
          <w:szCs w:val="21"/>
          <w:lang w:val="en-US" w:eastAsia="zh-CN"/>
        </w:rPr>
      </w:pPr>
    </w:p>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center"/>
        <w:rPr>
          <w:rFonts w:hint="default"/>
          <w:b/>
          <w:bCs/>
          <w:i/>
          <w:iCs/>
          <w:szCs w:val="21"/>
          <w:lang w:val="en-US" w:eastAsia="zh-CN"/>
        </w:rPr>
      </w:pPr>
      <w:r>
        <w:rPr>
          <w:rFonts w:hint="eastAsia" w:ascii="Arial" w:hAnsi="Arial" w:eastAsia="宋体" w:cs="Times New Roman"/>
          <w:b w:val="0"/>
          <w:bCs/>
          <w:kern w:val="2"/>
          <w:sz w:val="18"/>
          <w:szCs w:val="18"/>
          <w:lang w:val="en-US" w:eastAsia="zh-CN" w:bidi="ar-SA"/>
        </w:rPr>
        <w:t>Table 2-</w:t>
      </w:r>
      <w:r>
        <w:rPr>
          <w:rFonts w:hint="eastAsia" w:ascii="Arial" w:hAnsi="Arial" w:cs="Times New Roman"/>
          <w:b w:val="0"/>
          <w:bCs/>
          <w:kern w:val="2"/>
          <w:sz w:val="18"/>
          <w:szCs w:val="18"/>
          <w:lang w:val="en-US" w:eastAsia="zh-CN" w:bidi="ar-SA"/>
        </w:rPr>
        <w:t>1</w:t>
      </w:r>
      <w:r>
        <w:rPr>
          <w:rFonts w:hint="eastAsia" w:ascii="Arial" w:hAnsi="Arial" w:eastAsia="宋体" w:cs="Times New Roman"/>
          <w:b w:val="0"/>
          <w:bCs/>
          <w:kern w:val="2"/>
          <w:sz w:val="18"/>
          <w:szCs w:val="18"/>
          <w:lang w:val="en-US" w:eastAsia="zh-CN" w:bidi="ar-SA"/>
        </w:rPr>
        <w:t xml:space="preserve">: Throughput curves for </w:t>
      </w:r>
      <w:r>
        <w:rPr>
          <w:rFonts w:hint="eastAsia" w:ascii="Arial" w:hAnsi="Arial" w:cs="Times New Roman"/>
          <w:b w:val="0"/>
          <w:bCs/>
          <w:kern w:val="2"/>
          <w:sz w:val="18"/>
          <w:szCs w:val="18"/>
          <w:lang w:val="en-US" w:eastAsia="zh-CN" w:bidi="ar-SA"/>
        </w:rPr>
        <w:t>adaptive MCS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3"/>
        <w:gridCol w:w="4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3"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szCs w:val="20"/>
              </w:rPr>
            </w:pPr>
            <w:r>
              <w:rPr>
                <w:rFonts w:hint="default"/>
                <w:szCs w:val="20"/>
              </w:rPr>
              <w:drawing>
                <wp:inline distT="0" distB="0" distL="114300" distR="114300">
                  <wp:extent cx="3058795" cy="2294890"/>
                  <wp:effectExtent l="0" t="0" r="0" b="0"/>
                  <wp:docPr id="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5"/>
                          <pic:cNvPicPr>
                            <a:picLocks noChangeAspect="1"/>
                          </pic:cNvPicPr>
                        </pic:nvPicPr>
                        <pic:blipFill>
                          <a:blip r:embed="rId12"/>
                          <a:stretch>
                            <a:fillRect/>
                          </a:stretch>
                        </pic:blipFill>
                        <pic:spPr>
                          <a:xfrm>
                            <a:off x="0" y="0"/>
                            <a:ext cx="3058795" cy="2294890"/>
                          </a:xfrm>
                          <a:prstGeom prst="rect">
                            <a:avLst/>
                          </a:prstGeom>
                          <a:noFill/>
                          <a:ln w="9525">
                            <a:noFill/>
                          </a:ln>
                        </pic:spPr>
                      </pic:pic>
                    </a:graphicData>
                  </a:graphic>
                </wp:inline>
              </w:drawing>
            </w:r>
          </w:p>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eastAsia="宋体"/>
                <w:szCs w:val="20"/>
                <w:lang w:val="en-US" w:eastAsia="zh-CN"/>
              </w:rPr>
            </w:pPr>
            <w:r>
              <w:rPr>
                <w:rFonts w:hint="eastAsia"/>
                <w:sz w:val="20"/>
                <w:szCs w:val="20"/>
                <w:lang w:val="en-US" w:eastAsia="zh-CN"/>
              </w:rPr>
              <w:t xml:space="preserve">(1) TDD 40M/30k 8T6R adaptive MCS TDLA30-10 with option 1 correlation </w:t>
            </w:r>
          </w:p>
        </w:tc>
        <w:tc>
          <w:tcPr>
            <w:tcW w:w="4953"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248025" cy="2437765"/>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3"/>
                          <a:stretch>
                            <a:fillRect/>
                          </a:stretch>
                        </pic:blipFill>
                        <pic:spPr>
                          <a:xfrm>
                            <a:off x="0" y="0"/>
                            <a:ext cx="3248025" cy="2437765"/>
                          </a:xfrm>
                          <a:prstGeom prst="rect">
                            <a:avLst/>
                          </a:prstGeom>
                          <a:noFill/>
                          <a:ln w="9525">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szCs w:val="20"/>
                <w:lang w:val="en-US" w:eastAsia="zh-CN"/>
              </w:rPr>
            </w:pPr>
            <w:r>
              <w:rPr>
                <w:rFonts w:hint="eastAsia"/>
                <w:sz w:val="20"/>
                <w:szCs w:val="20"/>
                <w:lang w:val="en-US" w:eastAsia="zh-CN"/>
              </w:rPr>
              <w:t>(2) TDD 40M/30k 8T6R adaptive MCS TDLA30-10 with option 2 correlation</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the MIMO layers related to 6Rx, The conclusions are:</w:t>
      </w:r>
    </w:p>
    <w:p>
      <w:pPr>
        <w:keepNext w:val="0"/>
        <w:keepLines w:val="0"/>
        <w:pageBreakBefore w:val="0"/>
        <w:widowControl w:val="0"/>
        <w:kinsoku/>
        <w:wordWrap/>
        <w:topLinePunct w:val="0"/>
        <w:bidi w:val="0"/>
        <w:rPr>
          <w:rFonts w:hint="eastAsia"/>
          <w:b/>
          <w:bCs/>
          <w:i/>
          <w:iCs/>
          <w:szCs w:val="21"/>
          <w:lang w:val="en-US" w:eastAsia="zh-CN"/>
        </w:rPr>
      </w:pPr>
      <w:r>
        <w:rPr>
          <w:rFonts w:hint="eastAsia"/>
          <w:b/>
          <w:bCs/>
          <w:i/>
          <w:iCs/>
          <w:szCs w:val="21"/>
          <w:lang w:val="en-US" w:eastAsia="zh-CN"/>
        </w:rPr>
        <w:t>Observation 1. There are significant differences between the antenna correlation matrices.</w:t>
      </w:r>
    </w:p>
    <w:p>
      <w:pPr>
        <w:keepNext w:val="0"/>
        <w:keepLines w:val="0"/>
        <w:pageBreakBefore w:val="0"/>
        <w:widowControl w:val="0"/>
        <w:kinsoku/>
        <w:wordWrap/>
        <w:topLinePunct w:val="0"/>
        <w:bidi w:val="0"/>
        <w:rPr>
          <w:rFonts w:hint="eastAsia"/>
          <w:b/>
          <w:bCs/>
          <w:i/>
          <w:iCs/>
          <w:strike w:val="0"/>
          <w:dstrike w:val="0"/>
          <w:szCs w:val="21"/>
          <w:lang w:val="en-US" w:eastAsia="zh-CN"/>
        </w:rPr>
      </w:pPr>
      <w:r>
        <w:rPr>
          <w:rFonts w:hint="eastAsia"/>
          <w:b/>
          <w:bCs/>
          <w:i/>
          <w:iCs/>
          <w:strike w:val="0"/>
          <w:dstrike w:val="0"/>
          <w:szCs w:val="21"/>
          <w:lang w:val="en-US" w:eastAsia="zh-CN"/>
        </w:rPr>
        <w:t xml:space="preserve">Observation 2. Different UE types have different implementation methods, which also have different antenna correlation. </w:t>
      </w:r>
    </w:p>
    <w:p>
      <w:pPr>
        <w:keepNext w:val="0"/>
        <w:keepLines w:val="0"/>
        <w:pageBreakBefore w:val="0"/>
        <w:widowControl w:val="0"/>
        <w:kinsoku/>
        <w:wordWrap/>
        <w:topLinePunct w:val="0"/>
        <w:bidi w:val="0"/>
        <w:rPr>
          <w:rFonts w:hint="default"/>
          <w:b/>
          <w:bCs/>
          <w:i/>
          <w:iCs/>
          <w:strike w:val="0"/>
          <w:dstrike w:val="0"/>
          <w:szCs w:val="21"/>
          <w:lang w:val="en-US" w:eastAsia="zh-CN"/>
        </w:rPr>
      </w:pPr>
      <w:r>
        <w:rPr>
          <w:rFonts w:hint="eastAsia"/>
          <w:b/>
          <w:bCs/>
          <w:i/>
          <w:iCs/>
          <w:strike w:val="0"/>
          <w:dstrike w:val="0"/>
          <w:szCs w:val="21"/>
          <w:lang w:val="en-US" w:eastAsia="zh-CN"/>
        </w:rPr>
        <w:t xml:space="preserve">Proposal 1. From our simulation results, 6 MIMO Layers shall be considered as an optional feature. </w:t>
      </w:r>
    </w:p>
    <w:p>
      <w:pPr>
        <w:keepNext w:val="0"/>
        <w:keepLines w:val="0"/>
        <w:pageBreakBefore w:val="0"/>
        <w:widowControl w:val="0"/>
        <w:kinsoku/>
        <w:wordWrap/>
        <w:topLinePunct w:val="0"/>
        <w:bidi w:val="0"/>
        <w:rPr>
          <w:rFonts w:hint="default"/>
          <w:b/>
          <w:bCs/>
          <w:i/>
          <w:iCs/>
          <w:strike w:val="0"/>
          <w:dstrike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6"/>
        <w:numPr>
          <w:ilvl w:val="0"/>
          <w:numId w:val="8"/>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RP-240828, New WID: UE RF enhancements for NR FR1/FR2 and EN-DC, Phase 4, RAN4 chair (Huawei).</w:t>
      </w:r>
    </w:p>
    <w:p>
      <w:pPr>
        <w:pStyle w:val="36"/>
        <w:numPr>
          <w:ilvl w:val="0"/>
          <w:numId w:val="8"/>
        </w:numPr>
        <w:spacing w:afterLines="0" w:line="259" w:lineRule="auto"/>
        <w:ind w:right="-22"/>
        <w:jc w:val="left"/>
        <w:rPr>
          <w:rFonts w:hint="default" w:eastAsiaTheme="minorHAnsi" w:cstheme="minorBidi"/>
          <w:kern w:val="0"/>
          <w:sz w:val="21"/>
          <w:szCs w:val="21"/>
          <w:lang w:val="en-US"/>
        </w:rPr>
      </w:pPr>
      <w:r>
        <w:rPr>
          <w:rFonts w:hint="default" w:eastAsiaTheme="minorHAnsi" w:cstheme="minorBidi"/>
          <w:kern w:val="0"/>
          <w:sz w:val="21"/>
          <w:szCs w:val="21"/>
          <w:lang w:val="en-US"/>
        </w:rPr>
        <w:t>R4-2414285</w:t>
      </w:r>
      <w:r>
        <w:rPr>
          <w:rFonts w:hint="eastAsia" w:eastAsia="宋体" w:cstheme="minorBidi"/>
          <w:kern w:val="0"/>
          <w:sz w:val="21"/>
          <w:szCs w:val="21"/>
          <w:lang w:val="en-US" w:eastAsia="zh-CN"/>
        </w:rPr>
        <w:t>, WF on 6Rx UE requirements, AT&amp;T.</w:t>
      </w: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p>
      <w:pPr>
        <w:widowControl w:val="0"/>
        <w:pBdr>
          <w:top w:val="single" w:color="auto" w:sz="12" w:space="3"/>
        </w:pBdr>
        <w:spacing w:beforeLines="0" w:afterLines="0"/>
        <w:jc w:val="left"/>
        <w:outlineLvl w:val="0"/>
        <w:rPr>
          <w:rFonts w:hint="eastAsia" w:cs="Times New Roman"/>
          <w:b w:val="0"/>
          <w:bCs w:val="0"/>
          <w:kern w:val="0"/>
          <w:sz w:val="20"/>
          <w:szCs w:val="20"/>
          <w:highlight w:val="none"/>
          <w:lang w:val="en-US" w:eastAsia="zh-CN"/>
        </w:rPr>
      </w:pPr>
      <w:r>
        <w:rPr>
          <w:rFonts w:hint="eastAsia"/>
          <w:b/>
          <w:kern w:val="0"/>
          <w:sz w:val="24"/>
          <w:szCs w:val="24"/>
          <w:lang w:val="en-US" w:eastAsia="zh-CN"/>
        </w:rPr>
        <w:t>5</w:t>
      </w:r>
      <w:r>
        <w:rPr>
          <w:rFonts w:hint="eastAsia"/>
          <w:b/>
          <w:kern w:val="0"/>
          <w:sz w:val="24"/>
          <w:szCs w:val="24"/>
        </w:rPr>
        <w:t xml:space="preserve"> </w:t>
      </w:r>
      <w:r>
        <w:rPr>
          <w:rFonts w:hint="eastAsia"/>
          <w:b/>
          <w:kern w:val="0"/>
          <w:sz w:val="24"/>
          <w:szCs w:val="24"/>
          <w:lang w:val="en-US" w:eastAsia="zh-CN"/>
        </w:rPr>
        <w:t>Annex</w:t>
      </w: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tbl>
      <w:tblPr>
        <w:tblStyle w:val="25"/>
        <w:tblpPr w:leftFromText="180" w:rightFromText="180" w:vertAnchor="page" w:horzAnchor="margin" w:tblpY="20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6"/>
        <w:gridCol w:w="1858"/>
        <w:gridCol w:w="6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4" w:type="dxa"/>
            <w:gridSpan w:val="2"/>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sz w:val="18"/>
                <w:szCs w:val="20"/>
                <w:lang w:val="en-GB" w:eastAsia="en-US" w:bidi="ar-SA"/>
              </w:rPr>
            </w:pPr>
            <w:r>
              <w:rPr>
                <w:rFonts w:hint="default" w:ascii="Arial" w:hAnsi="Arial" w:eastAsia="Times New Roman" w:cs="Times New Roman"/>
                <w:b/>
                <w:sz w:val="18"/>
                <w:szCs w:val="20"/>
                <w:lang w:val="en-GB" w:eastAsia="zh-CN" w:bidi="ar-SA"/>
              </w:rPr>
              <w:t>Table: Feasibility Study Link-Level Simulation Assumptions</w:t>
            </w:r>
            <w:r>
              <w:rPr>
                <w:rFonts w:hint="default" w:ascii="Arial" w:hAnsi="Arial" w:eastAsia="宋体" w:cs="Times New Roman"/>
                <w:b/>
                <w:sz w:val="18"/>
                <w:szCs w:val="20"/>
                <w:lang w:val="en-GB" w:eastAsia="en-US" w:bidi="ar-SA"/>
              </w:rPr>
              <w:t>Parameters</w:t>
            </w:r>
          </w:p>
        </w:tc>
        <w:tc>
          <w:tcPr>
            <w:tcW w:w="6156"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94" w:type="dxa"/>
            <w:gridSpan w:val="2"/>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Duplex mode</w:t>
            </w:r>
          </w:p>
        </w:tc>
        <w:tc>
          <w:tcPr>
            <w:tcW w:w="6156"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94" w:type="dxa"/>
            <w:gridSpan w:val="2"/>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Bandwidth</w:t>
            </w:r>
          </w:p>
        </w:tc>
        <w:tc>
          <w:tcPr>
            <w:tcW w:w="6156"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40MHZ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4" w:type="dxa"/>
            <w:gridSpan w:val="2"/>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SCS</w:t>
            </w:r>
          </w:p>
        </w:tc>
        <w:tc>
          <w:tcPr>
            <w:tcW w:w="6156"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4" w:type="dxa"/>
            <w:gridSpan w:val="2"/>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 xml:space="preserve">Antenna configuration </w:t>
            </w:r>
          </w:p>
        </w:tc>
        <w:tc>
          <w:tcPr>
            <w:tcW w:w="6156"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 xml:space="preserve"> {8Tx, 6Rx} as baseline </w:t>
            </w:r>
          </w:p>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Interested companies can submit results with {32Tx, 6Rx} and specify the precoding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4" w:type="dxa"/>
            <w:gridSpan w:val="2"/>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Propagation channel</w:t>
            </w:r>
          </w:p>
        </w:tc>
        <w:tc>
          <w:tcPr>
            <w:tcW w:w="6156" w:type="dxa"/>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TDLA30-10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4" w:type="dxa"/>
            <w:gridSpan w:val="2"/>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Rank</w:t>
            </w:r>
          </w:p>
        </w:tc>
        <w:tc>
          <w:tcPr>
            <w:tcW w:w="6156" w:type="dxa"/>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Fixed rank {4,6}, interested companies can bring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4" w:type="dxa"/>
            <w:gridSpan w:val="2"/>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zh-CN" w:bidi="ar-SA"/>
              </w:rPr>
            </w:pPr>
            <w:r>
              <w:rPr>
                <w:rFonts w:hint="default" w:ascii="Arial" w:hAnsi="Arial" w:eastAsia="Times New Roman" w:cs="Times New Roman"/>
                <w:sz w:val="18"/>
                <w:szCs w:val="20"/>
                <w:lang w:val="en-GB" w:eastAsia="zh-CN" w:bidi="ar-SA"/>
              </w:rPr>
              <w:t>MCS</w:t>
            </w:r>
          </w:p>
        </w:tc>
        <w:tc>
          <w:tcPr>
            <w:tcW w:w="6156" w:type="dxa"/>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szCs w:val="20"/>
                <w:lang w:val="en-GB" w:eastAsia="zh-CN" w:bidi="ar-SA"/>
              </w:rPr>
            </w:pPr>
            <w:r>
              <w:rPr>
                <w:rFonts w:hint="default" w:ascii="Arial" w:hAnsi="Arial" w:eastAsia="Times New Roman" w:cs="Times New Roman"/>
                <w:sz w:val="18"/>
                <w:szCs w:val="20"/>
                <w:lang w:val="en-GB" w:eastAsia="zh-CN" w:bidi="ar-SA"/>
              </w:rPr>
              <w:t>Adaptive MCS (target BLER 10%)</w:t>
            </w:r>
          </w:p>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szCs w:val="20"/>
                <w:lang w:val="en-GB" w:eastAsia="zh-CN" w:bidi="ar-SA"/>
              </w:rPr>
            </w:pPr>
            <w:r>
              <w:rPr>
                <w:rFonts w:hint="default" w:ascii="Arial" w:hAnsi="Arial" w:eastAsia="Times New Roman" w:cs="Times New Roman"/>
                <w:sz w:val="18"/>
                <w:szCs w:val="20"/>
                <w:lang w:val="en-GB" w:eastAsia="zh-CN" w:bidi="ar-SA"/>
              </w:rPr>
              <w:t>MCS Table 2</w:t>
            </w:r>
          </w:p>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szCs w:val="20"/>
                <w:lang w:val="en-GB" w:eastAsia="zh-CN" w:bidi="ar-SA"/>
              </w:rPr>
            </w:pPr>
            <w:r>
              <w:rPr>
                <w:rFonts w:hint="default" w:ascii="Arial" w:hAnsi="Arial" w:eastAsia="Times New Roman" w:cs="Times New Roman"/>
                <w:sz w:val="18"/>
                <w:szCs w:val="20"/>
                <w:lang w:val="en-GB" w:eastAsia="zh-CN" w:bidi="ar-SA"/>
              </w:rPr>
              <w:t>Interested companies can bring MCS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dxa"/>
            <w:tcBorders>
              <w:bottom w:val="nil"/>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PDSCH configuration</w:t>
            </w:r>
          </w:p>
        </w:tc>
        <w:tc>
          <w:tcPr>
            <w:tcW w:w="1858"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Mapping type</w:t>
            </w:r>
          </w:p>
        </w:tc>
        <w:tc>
          <w:tcPr>
            <w:tcW w:w="6156"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dxa"/>
            <w:tcBorders>
              <w:top w:val="nil"/>
              <w:bottom w:val="nil"/>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zh-CN" w:bidi="ar-SA"/>
              </w:rPr>
            </w:pPr>
          </w:p>
        </w:tc>
        <w:tc>
          <w:tcPr>
            <w:tcW w:w="1858"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 xml:space="preserve">Starting symbol </w:t>
            </w:r>
          </w:p>
        </w:tc>
        <w:tc>
          <w:tcPr>
            <w:tcW w:w="6156"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dxa"/>
            <w:tcBorders>
              <w:top w:val="nil"/>
              <w:bottom w:val="nil"/>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zh-CN" w:bidi="ar-SA"/>
              </w:rPr>
            </w:pPr>
          </w:p>
        </w:tc>
        <w:tc>
          <w:tcPr>
            <w:tcW w:w="1858"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Length</w:t>
            </w:r>
          </w:p>
        </w:tc>
        <w:tc>
          <w:tcPr>
            <w:tcW w:w="6156"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zh-CN" w:bidi="ar-SA"/>
              </w:rPr>
            </w:pPr>
            <w:r>
              <w:rPr>
                <w:rFonts w:hint="default" w:ascii="Arial" w:hAnsi="Arial" w:eastAsia="宋体" w:cs="Times New Roman"/>
                <w:sz w:val="18"/>
                <w:szCs w:val="20"/>
                <w:lang w:val="en-GB" w:eastAsia="zh-CN"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dxa"/>
            <w:tcBorders>
              <w:top w:val="nil"/>
              <w:bottom w:val="nil"/>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en-GB" w:bidi="ar-SA"/>
              </w:rPr>
            </w:pPr>
          </w:p>
        </w:tc>
        <w:tc>
          <w:tcPr>
            <w:tcW w:w="1858"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en-GB" w:bidi="ar-SA"/>
              </w:rPr>
            </w:pPr>
            <w:r>
              <w:rPr>
                <w:rFonts w:hint="default" w:ascii="Arial" w:hAnsi="Arial" w:eastAsia="宋体" w:cs="Times New Roman"/>
                <w:sz w:val="18"/>
                <w:szCs w:val="20"/>
                <w:lang w:val="en-GB" w:eastAsia="en-GB" w:bidi="ar-SA"/>
              </w:rPr>
              <w:t>PRB bundling size</w:t>
            </w:r>
          </w:p>
        </w:tc>
        <w:tc>
          <w:tcPr>
            <w:tcW w:w="6156"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en-GB" w:bidi="ar-SA"/>
              </w:rPr>
            </w:pPr>
            <w:r>
              <w:rPr>
                <w:rFonts w:hint="default" w:ascii="Arial" w:hAnsi="Arial" w:eastAsia="宋体" w:cs="Times New Roman"/>
                <w:sz w:val="18"/>
                <w:szCs w:val="20"/>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2" w:hRule="atLeast"/>
        </w:trPr>
        <w:tc>
          <w:tcPr>
            <w:tcW w:w="1336" w:type="dxa"/>
            <w:tcBorders>
              <w:top w:val="nil"/>
              <w:bottom w:val="nil"/>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en-GB" w:bidi="ar-SA"/>
              </w:rPr>
            </w:pPr>
          </w:p>
        </w:tc>
        <w:tc>
          <w:tcPr>
            <w:tcW w:w="1858"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en-GB" w:bidi="ar-SA"/>
              </w:rPr>
            </w:pPr>
            <w:r>
              <w:rPr>
                <w:rFonts w:hint="default" w:ascii="Arial" w:hAnsi="Arial" w:eastAsia="宋体" w:cs="Times New Roman"/>
                <w:sz w:val="18"/>
                <w:szCs w:val="20"/>
                <w:lang w:val="en-GB" w:eastAsia="ja-JP" w:bidi="ar-SA"/>
              </w:rPr>
              <w:t>VRB-to-PRB mapping type</w:t>
            </w:r>
          </w:p>
        </w:tc>
        <w:tc>
          <w:tcPr>
            <w:tcW w:w="6156"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en-GB" w:bidi="ar-SA"/>
              </w:rPr>
            </w:pPr>
            <w:r>
              <w:rPr>
                <w:rFonts w:hint="default" w:ascii="Arial" w:hAnsi="Arial" w:eastAsia="宋体" w:cs="Times New Roman"/>
                <w:sz w:val="18"/>
                <w:szCs w:val="20"/>
                <w:lang w:val="en-GB" w:eastAsia="en-GB" w:bidi="ar-SA"/>
              </w:rPr>
              <w:t>Non-interleaved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336" w:type="dxa"/>
            <w:tcBorders>
              <w:top w:val="nil"/>
              <w:bottom w:val="nil"/>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en-GB" w:bidi="ar-SA"/>
              </w:rPr>
            </w:pPr>
          </w:p>
        </w:tc>
        <w:tc>
          <w:tcPr>
            <w:tcW w:w="1858"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ja-JP" w:bidi="ar-SA"/>
              </w:rPr>
            </w:pPr>
            <w:r>
              <w:rPr>
                <w:rFonts w:hint="default" w:ascii="Arial" w:hAnsi="Arial" w:eastAsia="宋体" w:cs="Times New Roman"/>
                <w:sz w:val="18"/>
                <w:szCs w:val="20"/>
                <w:lang w:val="en-GB" w:eastAsia="ja-JP" w:bidi="ar-SA"/>
              </w:rPr>
              <w:t>Precoding</w:t>
            </w:r>
          </w:p>
        </w:tc>
        <w:tc>
          <w:tcPr>
            <w:tcW w:w="6156"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en-GB" w:bidi="ar-SA"/>
              </w:rPr>
            </w:pPr>
            <w:r>
              <w:rPr>
                <w:rFonts w:hint="default" w:ascii="Arial" w:hAnsi="Arial" w:eastAsia="宋体" w:cs="Times New Roman"/>
                <w:sz w:val="18"/>
                <w:szCs w:val="20"/>
                <w:lang w:val="en-GB" w:eastAsia="en-GB" w:bidi="ar-SA"/>
              </w:rPr>
              <w:t>Random PMI (Rel-15 Type 1 codebook) for 8Tx</w:t>
            </w:r>
          </w:p>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en-GB" w:bidi="ar-SA"/>
              </w:rPr>
            </w:pPr>
            <w:r>
              <w:rPr>
                <w:rFonts w:hint="default" w:ascii="Arial" w:hAnsi="Arial" w:eastAsia="宋体" w:cs="Times New Roman"/>
                <w:sz w:val="18"/>
                <w:szCs w:val="20"/>
                <w:lang w:val="en-GB" w:eastAsia="en-GB" w:bidi="ar-SA"/>
              </w:rPr>
              <w:t>SVD based precoding for 32Tx; companies are encouraged to provide details on the SVD update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336" w:type="dxa"/>
            <w:tcBorders>
              <w:bottom w:val="nil"/>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en-GB" w:bidi="ar-SA"/>
              </w:rPr>
            </w:pPr>
            <w:r>
              <w:rPr>
                <w:rFonts w:hint="default" w:ascii="Arial" w:hAnsi="Arial" w:eastAsia="宋体" w:cs="Times New Roman"/>
                <w:sz w:val="18"/>
                <w:szCs w:val="20"/>
                <w:lang w:val="en-GB" w:eastAsia="en-GB" w:bidi="ar-SA"/>
              </w:rPr>
              <w:t>PDSCH DMRS configuration</w:t>
            </w:r>
          </w:p>
        </w:tc>
        <w:tc>
          <w:tcPr>
            <w:tcW w:w="1858"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en-GB" w:bidi="ar-SA"/>
              </w:rPr>
            </w:pPr>
            <w:r>
              <w:rPr>
                <w:rFonts w:hint="default" w:ascii="Arial" w:hAnsi="Arial" w:eastAsia="宋体" w:cs="Times New Roman"/>
                <w:sz w:val="18"/>
                <w:szCs w:val="20"/>
                <w:lang w:val="en-GB" w:eastAsia="en-GB" w:bidi="ar-SA"/>
              </w:rPr>
              <w:t>DMRS Type</w:t>
            </w:r>
          </w:p>
        </w:tc>
        <w:tc>
          <w:tcPr>
            <w:tcW w:w="6156" w:type="dxa"/>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en-GB" w:bidi="ar-SA"/>
              </w:rPr>
            </w:pPr>
            <w:r>
              <w:rPr>
                <w:rFonts w:hint="default" w:ascii="Arial" w:hAnsi="Arial" w:eastAsia="宋体" w:cs="Times New Roman"/>
                <w:sz w:val="18"/>
                <w:szCs w:val="20"/>
                <w:lang w:val="en-US" w:eastAsia="en-GB" w:bidi="ar-SA"/>
              </w:rPr>
              <w:t>Type 1 [Rel-15] and eType-1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rPr>
        <w:tc>
          <w:tcPr>
            <w:tcW w:w="1336" w:type="dxa"/>
            <w:tcBorders>
              <w:top w:val="nil"/>
              <w:bottom w:val="nil"/>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en-GB" w:bidi="ar-SA"/>
              </w:rPr>
            </w:pPr>
          </w:p>
        </w:tc>
        <w:tc>
          <w:tcPr>
            <w:tcW w:w="1858"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highlight w:val="none"/>
                <w:lang w:val="en-GB" w:eastAsia="en-GB" w:bidi="ar-SA"/>
              </w:rPr>
            </w:pPr>
            <w:r>
              <w:rPr>
                <w:rFonts w:hint="default" w:ascii="Arial" w:hAnsi="Arial" w:eastAsia="宋体" w:cs="Times New Roman"/>
                <w:sz w:val="18"/>
                <w:szCs w:val="20"/>
                <w:highlight w:val="none"/>
                <w:lang w:val="en-GB" w:eastAsia="en-GB" w:bidi="ar-SA"/>
              </w:rPr>
              <w:t>DMRS Configurations</w:t>
            </w:r>
          </w:p>
        </w:tc>
        <w:tc>
          <w:tcPr>
            <w:tcW w:w="6156" w:type="dxa"/>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szCs w:val="20"/>
                <w:highlight w:val="none"/>
                <w:lang w:val="en-GB" w:eastAsia="en-GB" w:bidi="ar-SA"/>
              </w:rPr>
            </w:pPr>
            <w:r>
              <w:rPr>
                <w:rFonts w:hint="default" w:ascii="Arial" w:hAnsi="Arial" w:eastAsia="Times New Roman" w:cs="Times New Roman"/>
                <w:sz w:val="18"/>
                <w:szCs w:val="20"/>
                <w:highlight w:val="none"/>
                <w:lang w:val="en-GB" w:eastAsia="en-GB" w:bidi="ar-SA"/>
              </w:rPr>
              <w:t>Option 1: Rel-18 1+1(6L), Rel-15 1+1(4L)</w:t>
            </w:r>
          </w:p>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szCs w:val="20"/>
                <w:highlight w:val="none"/>
                <w:lang w:val="en-GB" w:eastAsia="en-GB" w:bidi="ar-SA"/>
              </w:rPr>
            </w:pPr>
            <w:r>
              <w:rPr>
                <w:rFonts w:hint="default" w:ascii="Arial" w:hAnsi="Arial" w:eastAsia="Times New Roman" w:cs="Times New Roman"/>
                <w:sz w:val="18"/>
                <w:szCs w:val="20"/>
                <w:highlight w:val="none"/>
                <w:lang w:val="en-GB" w:eastAsia="en-GB" w:bidi="ar-SA"/>
              </w:rPr>
              <w:t>Option 2: Rel-15 1+1(4L), Rel-15 2+0(6L)</w:t>
            </w:r>
          </w:p>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szCs w:val="20"/>
                <w:highlight w:val="none"/>
                <w:lang w:val="en-GB" w:eastAsia="en-GB" w:bidi="ar-SA"/>
              </w:rPr>
            </w:pPr>
            <w:r>
              <w:rPr>
                <w:rFonts w:hint="default" w:ascii="Arial" w:hAnsi="Arial" w:eastAsia="Times New Roman" w:cs="Times New Roman"/>
                <w:sz w:val="18"/>
                <w:szCs w:val="20"/>
                <w:highlight w:val="none"/>
                <w:lang w:val="en-GB" w:eastAsia="en-GB" w:bidi="ar-SA"/>
              </w:rPr>
              <w:t>Option 3: Rel-15 1+1(4L), Rel-15 2+2(6L)</w:t>
            </w:r>
          </w:p>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szCs w:val="20"/>
                <w:highlight w:val="none"/>
                <w:lang w:val="en-GB" w:eastAsia="en-GB" w:bidi="ar-SA"/>
              </w:rPr>
            </w:pPr>
            <w:r>
              <w:rPr>
                <w:rFonts w:hint="default" w:ascii="Arial" w:hAnsi="Arial" w:eastAsia="Times New Roman" w:cs="Times New Roman"/>
                <w:sz w:val="18"/>
                <w:szCs w:val="20"/>
                <w:highlight w:val="none"/>
                <w:lang w:val="en-GB" w:eastAsia="en-GB" w:bidi="ar-SA"/>
              </w:rPr>
              <w:t>Option 4:  Rel-15 2+2(4L), Rel-15 2+2(6L)</w:t>
            </w:r>
          </w:p>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szCs w:val="20"/>
                <w:highlight w:val="none"/>
                <w:lang w:val="en-GB" w:eastAsia="en-GB" w:bidi="ar-SA"/>
              </w:rPr>
            </w:pPr>
            <w:r>
              <w:rPr>
                <w:rFonts w:hint="default" w:ascii="Arial" w:hAnsi="Arial" w:eastAsia="Times New Roman" w:cs="Times New Roman"/>
                <w:sz w:val="18"/>
                <w:szCs w:val="20"/>
                <w:highlight w:val="none"/>
                <w:lang w:val="en-GB" w:eastAsia="en-GB" w:bidi="ar-SA"/>
              </w:rPr>
              <w:t>[To be further discussed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36" w:type="dxa"/>
            <w:tcBorders>
              <w:top w:val="nil"/>
              <w:bottom w:val="nil"/>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en-GB" w:bidi="ar-SA"/>
              </w:rPr>
            </w:pPr>
          </w:p>
        </w:tc>
        <w:tc>
          <w:tcPr>
            <w:tcW w:w="1858"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en-GB" w:bidi="ar-SA"/>
              </w:rPr>
            </w:pPr>
            <w:r>
              <w:rPr>
                <w:rFonts w:hint="default" w:ascii="Arial" w:hAnsi="Arial" w:eastAsia="宋体" w:cs="Times New Roman"/>
                <w:sz w:val="18"/>
                <w:szCs w:val="20"/>
                <w:lang w:val="en-GB" w:eastAsia="en-GB" w:bidi="ar-SA"/>
              </w:rPr>
              <w:t>Precoding</w:t>
            </w:r>
          </w:p>
        </w:tc>
        <w:tc>
          <w:tcPr>
            <w:tcW w:w="6156" w:type="dxa"/>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en-GB" w:bidi="ar-SA"/>
              </w:rPr>
            </w:pPr>
            <w:r>
              <w:rPr>
                <w:rFonts w:hint="default" w:ascii="Arial" w:hAnsi="Arial" w:eastAsia="宋体" w:cs="Times New Roman"/>
                <w:sz w:val="18"/>
                <w:szCs w:val="20"/>
                <w:lang w:val="en-GB" w:eastAsia="en-GB" w:bidi="ar-SA"/>
              </w:rPr>
              <w:t>Random PMI (Rel-15 Type 1 codebook) for 8Tx</w:t>
            </w:r>
          </w:p>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szCs w:val="20"/>
                <w:lang w:val="en-GB" w:eastAsia="en-GB" w:bidi="ar-SA"/>
              </w:rPr>
            </w:pPr>
            <w:r>
              <w:rPr>
                <w:rFonts w:hint="default" w:ascii="Arial" w:hAnsi="Arial" w:eastAsia="宋体" w:cs="Times New Roman"/>
                <w:sz w:val="18"/>
                <w:szCs w:val="20"/>
                <w:lang w:val="en-GB" w:eastAsia="en-GB" w:bidi="ar-SA"/>
              </w:rPr>
              <w:t>SVD based precoding for 32Tx, companies are encouraged to provide details on the SVD update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0" w:hRule="atLeast"/>
        </w:trPr>
        <w:tc>
          <w:tcPr>
            <w:tcW w:w="3194"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US" w:eastAsia="en-GB" w:bidi="ar-SA"/>
              </w:rPr>
            </w:pPr>
            <w:r>
              <w:rPr>
                <w:rFonts w:hint="default" w:ascii="Arial" w:hAnsi="Arial" w:eastAsia="Times New Roman" w:cs="Times New Roman"/>
                <w:sz w:val="18"/>
                <w:szCs w:val="20"/>
                <w:lang w:val="en-GB" w:eastAsia="en-GB" w:bidi="ar-SA"/>
              </w:rPr>
              <w:t>UE Correlation matrix</w:t>
            </w:r>
          </w:p>
        </w:tc>
        <w:tc>
          <w:tcPr>
            <w:tcW w:w="615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lang w:val="en-US" w:eastAsia="en-GB" w:bidi="ar-SA"/>
              </w:rPr>
            </w:pPr>
            <w:r>
              <w:rPr>
                <w:rFonts w:hint="default" w:ascii="Arial" w:hAnsi="Arial" w:eastAsia="Times New Roman" w:cs="Times New Roman"/>
                <w:sz w:val="18"/>
                <w:szCs w:val="20"/>
                <w:lang w:val="en-US" w:eastAsia="en-GB" w:bidi="ar-SA"/>
              </w:rPr>
              <w:t xml:space="preserve">Option 1: </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zh-CN" w:bidi="ar-SA"/>
              </w:rPr>
            </w:pPr>
            <w:r>
              <w:rPr>
                <w:rFonts w:hint="default" w:ascii="Arial" w:hAnsi="Arial" w:eastAsia="Times New Roman" w:cs="Times New Roman"/>
                <w:sz w:val="18"/>
                <w:szCs w:val="20"/>
                <w:lang w:val="en-GB" w:eastAsia="zh-CN" w:bidi="ar-SA"/>
              </w:rPr>
              <w:drawing>
                <wp:inline distT="0" distB="0" distL="0" distR="0">
                  <wp:extent cx="3766185" cy="1600200"/>
                  <wp:effectExtent l="0" t="0" r="13335" b="0"/>
                  <wp:docPr id="411153622" name="图片 3" descr="A graph of numbers and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53622" name="图片 3" descr="A graph of numbers and letters&#10;&#10;Description automatically generated with medium confidence"/>
                          <pic:cNvPicPr>
                            <a:picLocks noChangeAspect="1"/>
                          </pic:cNvPicPr>
                        </pic:nvPicPr>
                        <pic:blipFill>
                          <a:blip r:embed="rId14"/>
                          <a:stretch>
                            <a:fillRect/>
                          </a:stretch>
                        </pic:blipFill>
                        <pic:spPr>
                          <a:xfrm>
                            <a:off x="0" y="0"/>
                            <a:ext cx="3776684" cy="1604769"/>
                          </a:xfrm>
                          <a:prstGeom prst="rect">
                            <a:avLst/>
                          </a:prstGeom>
                        </pic:spPr>
                      </pic:pic>
                    </a:graphicData>
                  </a:graphic>
                </wp:inline>
              </w:drawing>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宋体" w:cs="Times New Roman"/>
                <w:sz w:val="18"/>
                <w:szCs w:val="20"/>
                <w:lang w:val="en-GB" w:eastAsia="zh-CN" w:bidi="ar-SA"/>
              </w:rPr>
            </w:pP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lang w:val="en-US" w:eastAsia="en-GB" w:bidi="ar-SA"/>
              </w:rPr>
            </w:pPr>
            <w:r>
              <w:rPr>
                <w:rFonts w:hint="default" w:ascii="Arial" w:hAnsi="Arial" w:eastAsia="Times New Roman" w:cs="Times New Roman"/>
                <w:sz w:val="18"/>
                <w:szCs w:val="20"/>
                <w:lang w:val="en-US" w:eastAsia="en-GB" w:bidi="ar-SA"/>
              </w:rPr>
              <w:t>Option 2:</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lang w:val="en-GB" w:eastAsia="zh-CN" w:bidi="ar-SA"/>
              </w:rPr>
            </w:pPr>
            <m:oMathPara>
              <m:oMath>
                <m:d>
                  <m:dPr>
                    <m:begChr m:val="["/>
                    <m:endChr m:val="]"/>
                    <m:ctrlPr>
                      <w:rPr>
                        <w:rFonts w:hint="default" w:ascii="Cambria Math" w:hAnsi="Cambria Math"/>
                        <w:i/>
                        <w:szCs w:val="20"/>
                        <w:lang w:eastAsia="zh-CN"/>
                      </w:rPr>
                    </m:ctrlPr>
                  </m:dPr>
                  <m:e>
                    <m:eqArr>
                      <m:eqArrPr>
                        <m:ctrlPr>
                          <w:rPr>
                            <w:rFonts w:hint="default" w:ascii="Cambria Math" w:hAnsi="Cambria Math"/>
                            <w:i/>
                            <w:szCs w:val="20"/>
                            <w:lang w:eastAsia="zh-CN"/>
                          </w:rPr>
                        </m:ctrlPr>
                      </m:eqArrPr>
                      <m:e>
                        <m:m>
                          <m:mPr>
                            <m:mcs>
                              <m:mc>
                                <m:mcPr>
                                  <m:count m:val="2"/>
                                  <m:mcJc m:val="center"/>
                                </m:mcPr>
                              </m:mc>
                            </m:mcs>
                            <m:ctrlPr>
                              <w:rPr>
                                <w:rFonts w:hint="default" w:ascii="Cambria Math" w:hAnsi="Cambria Math"/>
                                <w:i/>
                                <w:szCs w:val="20"/>
                                <w:lang w:eastAsia="zh-CN"/>
                              </w:rPr>
                            </m:ctrlPr>
                          </m:mPr>
                          <m:mr>
                            <m:e>
                              <m:r>
                                <m:rPr/>
                                <w:rPr>
                                  <w:rFonts w:hint="default" w:ascii="Cambria Math" w:hAnsi="Cambria Math"/>
                                  <w:szCs w:val="20"/>
                                  <w:lang w:eastAsia="zh-CN"/>
                                </w:rPr>
                                <m:t>1.00</m:t>
                              </m:r>
                              <m:ctrlPr>
                                <w:rPr>
                                  <w:rFonts w:hint="default" w:ascii="Cambria Math" w:hAnsi="Cambria Math"/>
                                  <w:i/>
                                  <w:szCs w:val="20"/>
                                  <w:lang w:eastAsia="zh-CN"/>
                                </w:rPr>
                              </m:ctrlPr>
                            </m:e>
                            <m:e>
                              <m:r>
                                <m:rPr/>
                                <w:rPr>
                                  <w:rFonts w:hint="default" w:ascii="Cambria Math" w:hAnsi="Cambria Math"/>
                                  <w:szCs w:val="20"/>
                                  <w:lang w:eastAsia="zh-CN"/>
                                </w:rPr>
                                <m:t>0.10</m:t>
                              </m:r>
                              <m:ctrlPr>
                                <w:rPr>
                                  <w:rFonts w:hint="default" w:ascii="Cambria Math" w:hAnsi="Cambria Math"/>
                                  <w:i/>
                                  <w:szCs w:val="20"/>
                                  <w:lang w:eastAsia="zh-CN"/>
                                </w:rPr>
                              </m:ctrlPr>
                            </m:e>
                          </m:mr>
                          <m:mr>
                            <m:e>
                              <m:r>
                                <m:rPr/>
                                <w:rPr>
                                  <w:rFonts w:hint="default" w:ascii="Cambria Math" w:hAnsi="Cambria Math"/>
                                  <w:szCs w:val="20"/>
                                  <w:lang w:eastAsia="zh-CN"/>
                                </w:rPr>
                                <m:t>0.10</m:t>
                              </m:r>
                              <m:ctrlPr>
                                <w:rPr>
                                  <w:rFonts w:hint="default" w:ascii="Cambria Math" w:hAnsi="Cambria Math"/>
                                  <w:i/>
                                  <w:szCs w:val="20"/>
                                  <w:lang w:eastAsia="zh-CN"/>
                                </w:rPr>
                              </m:ctrlPr>
                            </m:e>
                            <m:e>
                              <m:r>
                                <m:rPr/>
                                <w:rPr>
                                  <w:rFonts w:hint="default" w:ascii="Cambria Math" w:hAnsi="Cambria Math"/>
                                  <w:szCs w:val="20"/>
                                  <w:lang w:eastAsia="zh-CN"/>
                                </w:rPr>
                                <m:t>1.00</m:t>
                              </m:r>
                              <m:ctrlPr>
                                <w:rPr>
                                  <w:rFonts w:hint="default" w:ascii="Cambria Math" w:hAnsi="Cambria Math"/>
                                  <w:i/>
                                  <w:szCs w:val="20"/>
                                  <w:lang w:eastAsia="zh-CN"/>
                                </w:rPr>
                              </m:ctrlPr>
                            </m:e>
                          </m:mr>
                          <m:mr>
                            <m:e>
                              <m:r>
                                <m:rPr/>
                                <w:rPr>
                                  <w:rFonts w:hint="default" w:ascii="Cambria Math" w:hAnsi="Cambria Math"/>
                                  <w:szCs w:val="20"/>
                                  <w:lang w:eastAsia="zh-CN"/>
                                </w:rPr>
                                <m:t>0.30</m:t>
                              </m:r>
                              <m:ctrlPr>
                                <w:rPr>
                                  <w:rFonts w:hint="default" w:ascii="Cambria Math" w:hAnsi="Cambria Math"/>
                                  <w:i/>
                                  <w:szCs w:val="20"/>
                                  <w:lang w:eastAsia="zh-CN"/>
                                </w:rPr>
                              </m:ctrlPr>
                            </m:e>
                            <m:e>
                              <m:r>
                                <m:rPr/>
                                <w:rPr>
                                  <w:rFonts w:hint="default" w:ascii="Cambria Math" w:hAnsi="Cambria Math"/>
                                  <w:szCs w:val="20"/>
                                  <w:lang w:eastAsia="zh-CN"/>
                                </w:rPr>
                                <m:t>0.10</m:t>
                              </m:r>
                              <m:ctrlPr>
                                <w:rPr>
                                  <w:rFonts w:hint="default" w:ascii="Cambria Math" w:hAnsi="Cambria Math"/>
                                  <w:i/>
                                  <w:szCs w:val="20"/>
                                  <w:lang w:eastAsia="zh-CN"/>
                                </w:rPr>
                              </m:ctrlPr>
                            </m:e>
                          </m:mr>
                        </m:m>
                        <m:r>
                          <m:rPr/>
                          <w:rPr>
                            <w:rFonts w:hint="default" w:ascii="Cambria Math" w:hAnsi="Cambria Math"/>
                            <w:szCs w:val="20"/>
                            <w:lang w:eastAsia="zh-CN"/>
                          </w:rPr>
                          <m:t xml:space="preserve">     </m:t>
                        </m:r>
                        <m:m>
                          <m:mPr>
                            <m:mcs>
                              <m:mc>
                                <m:mcPr>
                                  <m:count m:val="2"/>
                                  <m:mcJc m:val="center"/>
                                </m:mcPr>
                              </m:mc>
                            </m:mcs>
                            <m:ctrlPr>
                              <w:rPr>
                                <w:rFonts w:hint="default" w:ascii="Cambria Math" w:hAnsi="Cambria Math"/>
                                <w:i/>
                                <w:szCs w:val="20"/>
                                <w:lang w:eastAsia="zh-CN"/>
                              </w:rPr>
                            </m:ctrlPr>
                          </m:mPr>
                          <m:mr>
                            <m:e>
                              <m:r>
                                <m:rPr/>
                                <w:rPr>
                                  <w:rFonts w:hint="default" w:ascii="Cambria Math" w:hAnsi="Cambria Math"/>
                                  <w:szCs w:val="20"/>
                                  <w:lang w:eastAsia="zh-CN"/>
                                </w:rPr>
                                <m:t>0.30</m:t>
                              </m:r>
                              <m:ctrlPr>
                                <w:rPr>
                                  <w:rFonts w:hint="default" w:ascii="Cambria Math" w:hAnsi="Cambria Math"/>
                                  <w:i/>
                                  <w:szCs w:val="20"/>
                                  <w:lang w:eastAsia="zh-CN"/>
                                </w:rPr>
                              </m:ctrlPr>
                            </m:e>
                            <m:e>
                              <m:r>
                                <m:rPr/>
                                <w:rPr>
                                  <w:rFonts w:hint="default" w:ascii="Cambria Math" w:hAnsi="Cambria Math"/>
                                  <w:szCs w:val="20"/>
                                  <w:lang w:eastAsia="zh-CN"/>
                                </w:rPr>
                                <m:t>0.15</m:t>
                              </m:r>
                              <m:ctrlPr>
                                <w:rPr>
                                  <w:rFonts w:hint="default" w:ascii="Cambria Math" w:hAnsi="Cambria Math"/>
                                  <w:i/>
                                  <w:szCs w:val="20"/>
                                  <w:lang w:eastAsia="zh-CN"/>
                                </w:rPr>
                              </m:ctrlPr>
                            </m:e>
                          </m:mr>
                          <m:mr>
                            <m:e>
                              <m:r>
                                <m:rPr/>
                                <w:rPr>
                                  <w:rFonts w:hint="default" w:ascii="Cambria Math" w:hAnsi="Cambria Math"/>
                                  <w:szCs w:val="20"/>
                                  <w:lang w:eastAsia="zh-CN"/>
                                </w:rPr>
                                <m:t>0.10</m:t>
                              </m:r>
                              <m:ctrlPr>
                                <w:rPr>
                                  <w:rFonts w:hint="default" w:ascii="Cambria Math" w:hAnsi="Cambria Math"/>
                                  <w:i/>
                                  <w:szCs w:val="20"/>
                                  <w:lang w:eastAsia="zh-CN"/>
                                </w:rPr>
                              </m:ctrlPr>
                            </m:e>
                            <m:e>
                              <m:r>
                                <m:rPr/>
                                <w:rPr>
                                  <w:rFonts w:hint="default" w:ascii="Cambria Math" w:hAnsi="Cambria Math"/>
                                  <w:szCs w:val="20"/>
                                  <w:lang w:eastAsia="zh-CN"/>
                                </w:rPr>
                                <m:t>0.14</m:t>
                              </m:r>
                              <m:ctrlPr>
                                <w:rPr>
                                  <w:rFonts w:hint="default" w:ascii="Cambria Math" w:hAnsi="Cambria Math"/>
                                  <w:i/>
                                  <w:szCs w:val="20"/>
                                  <w:lang w:eastAsia="zh-CN"/>
                                </w:rPr>
                              </m:ctrlPr>
                            </m:e>
                          </m:mr>
                          <m:mr>
                            <m:e>
                              <m:r>
                                <m:rPr/>
                                <w:rPr>
                                  <w:rFonts w:hint="default" w:ascii="Cambria Math" w:hAnsi="Cambria Math"/>
                                  <w:szCs w:val="20"/>
                                  <w:lang w:eastAsia="zh-CN"/>
                                </w:rPr>
                                <m:t>1.00</m:t>
                              </m:r>
                              <m:ctrlPr>
                                <w:rPr>
                                  <w:rFonts w:hint="default" w:ascii="Cambria Math" w:hAnsi="Cambria Math"/>
                                  <w:i/>
                                  <w:szCs w:val="20"/>
                                  <w:lang w:eastAsia="zh-CN"/>
                                </w:rPr>
                              </m:ctrlPr>
                            </m:e>
                            <m:e>
                              <m:r>
                                <m:rPr/>
                                <w:rPr>
                                  <w:rFonts w:hint="default" w:ascii="Cambria Math" w:hAnsi="Cambria Math"/>
                                  <w:szCs w:val="20"/>
                                  <w:lang w:eastAsia="zh-CN"/>
                                </w:rPr>
                                <m:t>0.12</m:t>
                              </m:r>
                              <m:ctrlPr>
                                <w:rPr>
                                  <w:rFonts w:hint="default" w:ascii="Cambria Math" w:hAnsi="Cambria Math"/>
                                  <w:i/>
                                  <w:szCs w:val="20"/>
                                  <w:lang w:eastAsia="zh-CN"/>
                                </w:rPr>
                              </m:ctrlPr>
                            </m:e>
                          </m:mr>
                        </m:m>
                        <m:r>
                          <m:rPr/>
                          <w:rPr>
                            <w:rFonts w:hint="default" w:ascii="Cambria Math" w:hAnsi="Cambria Math"/>
                            <w:szCs w:val="20"/>
                            <w:lang w:eastAsia="zh-CN"/>
                          </w:rPr>
                          <m:t xml:space="preserve">    </m:t>
                        </m:r>
                        <m:m>
                          <m:mPr>
                            <m:mcs>
                              <m:mc>
                                <m:mcPr>
                                  <m:count m:val="2"/>
                                  <m:mcJc m:val="center"/>
                                </m:mcPr>
                              </m:mc>
                            </m:mcs>
                            <m:ctrlPr>
                              <w:rPr>
                                <w:rFonts w:hint="default" w:ascii="Cambria Math" w:hAnsi="Cambria Math"/>
                                <w:i/>
                                <w:szCs w:val="20"/>
                                <w:lang w:eastAsia="zh-CN"/>
                              </w:rPr>
                            </m:ctrlPr>
                          </m:mPr>
                          <m:mr>
                            <m:e>
                              <m:r>
                                <m:rPr/>
                                <w:rPr>
                                  <w:rFonts w:hint="default" w:ascii="Cambria Math" w:hAnsi="Cambria Math"/>
                                  <w:szCs w:val="20"/>
                                  <w:lang w:eastAsia="zh-CN"/>
                                </w:rPr>
                                <m:t>0.13</m:t>
                              </m:r>
                              <m:ctrlPr>
                                <w:rPr>
                                  <w:rFonts w:hint="default" w:ascii="Cambria Math" w:hAnsi="Cambria Math"/>
                                  <w:i/>
                                  <w:szCs w:val="20"/>
                                  <w:lang w:eastAsia="zh-CN"/>
                                </w:rPr>
                              </m:ctrlPr>
                            </m:e>
                            <m:e>
                              <m:r>
                                <m:rPr/>
                                <w:rPr>
                                  <w:rFonts w:hint="default" w:ascii="Cambria Math" w:hAnsi="Cambria Math"/>
                                  <w:szCs w:val="20"/>
                                  <w:lang w:eastAsia="zh-CN"/>
                                </w:rPr>
                                <m:t>0.12</m:t>
                              </m:r>
                              <m:ctrlPr>
                                <w:rPr>
                                  <w:rFonts w:hint="default" w:ascii="Cambria Math" w:hAnsi="Cambria Math"/>
                                  <w:i/>
                                  <w:szCs w:val="20"/>
                                  <w:lang w:eastAsia="zh-CN"/>
                                </w:rPr>
                              </m:ctrlPr>
                            </m:e>
                          </m:mr>
                          <m:mr>
                            <m:e>
                              <m:r>
                                <m:rPr/>
                                <w:rPr>
                                  <w:rFonts w:hint="default" w:ascii="Cambria Math" w:hAnsi="Cambria Math"/>
                                  <w:szCs w:val="20"/>
                                  <w:lang w:eastAsia="zh-CN"/>
                                </w:rPr>
                                <m:t>0.30</m:t>
                              </m:r>
                              <m:ctrlPr>
                                <w:rPr>
                                  <w:rFonts w:hint="default" w:ascii="Cambria Math" w:hAnsi="Cambria Math"/>
                                  <w:i/>
                                  <w:szCs w:val="20"/>
                                  <w:lang w:eastAsia="zh-CN"/>
                                </w:rPr>
                              </m:ctrlPr>
                            </m:e>
                            <m:e>
                              <m:r>
                                <m:rPr/>
                                <w:rPr>
                                  <w:rFonts w:hint="default" w:ascii="Cambria Math" w:hAnsi="Cambria Math"/>
                                  <w:szCs w:val="20"/>
                                  <w:lang w:eastAsia="zh-CN"/>
                                </w:rPr>
                                <m:t>0.20</m:t>
                              </m:r>
                              <m:ctrlPr>
                                <w:rPr>
                                  <w:rFonts w:hint="default" w:ascii="Cambria Math" w:hAnsi="Cambria Math"/>
                                  <w:i/>
                                  <w:szCs w:val="20"/>
                                  <w:lang w:eastAsia="zh-CN"/>
                                </w:rPr>
                              </m:ctrlPr>
                            </m:e>
                          </m:mr>
                          <m:mr>
                            <m:e>
                              <m:r>
                                <m:rPr/>
                                <w:rPr>
                                  <w:rFonts w:hint="default" w:ascii="Cambria Math" w:hAnsi="Cambria Math"/>
                                  <w:szCs w:val="20"/>
                                  <w:lang w:eastAsia="zh-CN"/>
                                </w:rPr>
                                <m:t>0.20</m:t>
                              </m:r>
                              <m:ctrlPr>
                                <w:rPr>
                                  <w:rFonts w:hint="default" w:ascii="Cambria Math" w:hAnsi="Cambria Math"/>
                                  <w:i/>
                                  <w:szCs w:val="20"/>
                                  <w:lang w:eastAsia="zh-CN"/>
                                </w:rPr>
                              </m:ctrlPr>
                            </m:e>
                            <m:e>
                              <m:r>
                                <m:rPr/>
                                <w:rPr>
                                  <w:rFonts w:hint="default" w:ascii="Cambria Math" w:hAnsi="Cambria Math"/>
                                  <w:szCs w:val="20"/>
                                  <w:lang w:eastAsia="zh-CN"/>
                                </w:rPr>
                                <m:t>0.12</m:t>
                              </m:r>
                              <m:ctrlPr>
                                <w:rPr>
                                  <w:rFonts w:hint="default" w:ascii="Cambria Math" w:hAnsi="Cambria Math"/>
                                  <w:i/>
                                  <w:szCs w:val="20"/>
                                  <w:lang w:eastAsia="zh-CN"/>
                                </w:rPr>
                              </m:ctrlPr>
                            </m:e>
                          </m:mr>
                        </m:m>
                        <m:ctrlPr>
                          <w:rPr>
                            <w:rFonts w:hint="default" w:ascii="Cambria Math" w:hAnsi="Cambria Math"/>
                            <w:i/>
                            <w:szCs w:val="20"/>
                            <w:lang w:eastAsia="zh-CN"/>
                          </w:rPr>
                        </m:ctrlPr>
                      </m:e>
                      <m:e>
                        <m:m>
                          <m:mPr>
                            <m:mcs>
                              <m:mc>
                                <m:mcPr>
                                  <m:count m:val="2"/>
                                  <m:mcJc m:val="center"/>
                                </m:mcPr>
                              </m:mc>
                            </m:mcs>
                            <m:ctrlPr>
                              <w:rPr>
                                <w:rFonts w:hint="default" w:ascii="Cambria Math" w:hAnsi="Cambria Math"/>
                                <w:i/>
                                <w:szCs w:val="20"/>
                                <w:lang w:eastAsia="zh-CN"/>
                              </w:rPr>
                            </m:ctrlPr>
                          </m:mPr>
                          <m:mr>
                            <m:e>
                              <m:r>
                                <m:rPr/>
                                <w:rPr>
                                  <w:rFonts w:hint="default" w:ascii="Cambria Math" w:hAnsi="Cambria Math"/>
                                  <w:szCs w:val="20"/>
                                  <w:lang w:eastAsia="zh-CN"/>
                                </w:rPr>
                                <m:t>0.15</m:t>
                              </m:r>
                              <m:ctrlPr>
                                <w:rPr>
                                  <w:rFonts w:hint="default" w:ascii="Cambria Math" w:hAnsi="Cambria Math"/>
                                  <w:i/>
                                  <w:szCs w:val="20"/>
                                  <w:lang w:eastAsia="zh-CN"/>
                                </w:rPr>
                              </m:ctrlPr>
                            </m:e>
                            <m:e>
                              <m:r>
                                <m:rPr/>
                                <w:rPr>
                                  <w:rFonts w:hint="default" w:ascii="Cambria Math" w:hAnsi="Cambria Math"/>
                                  <w:szCs w:val="20"/>
                                  <w:lang w:eastAsia="zh-CN"/>
                                </w:rPr>
                                <m:t>0.14</m:t>
                              </m:r>
                              <m:ctrlPr>
                                <w:rPr>
                                  <w:rFonts w:hint="default" w:ascii="Cambria Math" w:hAnsi="Cambria Math"/>
                                  <w:i/>
                                  <w:szCs w:val="20"/>
                                  <w:lang w:eastAsia="zh-CN"/>
                                </w:rPr>
                              </m:ctrlPr>
                            </m:e>
                          </m:mr>
                          <m:mr>
                            <m:e>
                              <m:r>
                                <m:rPr/>
                                <w:rPr>
                                  <w:rFonts w:hint="default" w:ascii="Cambria Math" w:hAnsi="Cambria Math"/>
                                  <w:szCs w:val="20"/>
                                  <w:lang w:eastAsia="zh-CN"/>
                                </w:rPr>
                                <m:t>0.13</m:t>
                              </m:r>
                              <m:ctrlPr>
                                <w:rPr>
                                  <w:rFonts w:hint="default" w:ascii="Cambria Math" w:hAnsi="Cambria Math"/>
                                  <w:i/>
                                  <w:szCs w:val="20"/>
                                  <w:lang w:eastAsia="zh-CN"/>
                                </w:rPr>
                              </m:ctrlPr>
                            </m:e>
                            <m:e>
                              <m:r>
                                <m:rPr/>
                                <w:rPr>
                                  <w:rFonts w:hint="default" w:ascii="Cambria Math" w:hAnsi="Cambria Math"/>
                                  <w:szCs w:val="20"/>
                                  <w:lang w:eastAsia="zh-CN"/>
                                </w:rPr>
                                <m:t>0.30</m:t>
                              </m:r>
                              <m:ctrlPr>
                                <w:rPr>
                                  <w:rFonts w:hint="default" w:ascii="Cambria Math" w:hAnsi="Cambria Math"/>
                                  <w:i/>
                                  <w:szCs w:val="20"/>
                                  <w:lang w:eastAsia="zh-CN"/>
                                </w:rPr>
                              </m:ctrlPr>
                            </m:e>
                          </m:mr>
                          <m:mr>
                            <m:e>
                              <m:r>
                                <m:rPr/>
                                <w:rPr>
                                  <w:rFonts w:hint="default" w:ascii="Cambria Math" w:hAnsi="Cambria Math"/>
                                  <w:szCs w:val="20"/>
                                  <w:lang w:eastAsia="zh-CN"/>
                                </w:rPr>
                                <m:t>0.12</m:t>
                              </m:r>
                              <m:ctrlPr>
                                <w:rPr>
                                  <w:rFonts w:hint="default" w:ascii="Cambria Math" w:hAnsi="Cambria Math"/>
                                  <w:i/>
                                  <w:szCs w:val="20"/>
                                  <w:lang w:eastAsia="zh-CN"/>
                                </w:rPr>
                              </m:ctrlPr>
                            </m:e>
                            <m:e>
                              <m:r>
                                <m:rPr/>
                                <w:rPr>
                                  <w:rFonts w:hint="default" w:ascii="Cambria Math" w:hAnsi="Cambria Math"/>
                                  <w:szCs w:val="20"/>
                                  <w:lang w:eastAsia="zh-CN"/>
                                </w:rPr>
                                <m:t>0.20</m:t>
                              </m:r>
                              <m:ctrlPr>
                                <w:rPr>
                                  <w:rFonts w:hint="default" w:ascii="Cambria Math" w:hAnsi="Cambria Math"/>
                                  <w:i/>
                                  <w:szCs w:val="20"/>
                                  <w:lang w:eastAsia="zh-CN"/>
                                </w:rPr>
                              </m:ctrlPr>
                            </m:e>
                          </m:mr>
                        </m:m>
                        <m:r>
                          <m:rPr/>
                          <w:rPr>
                            <w:rFonts w:hint="default" w:ascii="Cambria Math" w:hAnsi="Cambria Math"/>
                            <w:szCs w:val="20"/>
                            <w:lang w:eastAsia="zh-CN"/>
                          </w:rPr>
                          <m:t xml:space="preserve">     </m:t>
                        </m:r>
                        <m:m>
                          <m:mPr>
                            <m:mcs>
                              <m:mc>
                                <m:mcPr>
                                  <m:count m:val="2"/>
                                  <m:mcJc m:val="center"/>
                                </m:mcPr>
                              </m:mc>
                            </m:mcs>
                            <m:ctrlPr>
                              <w:rPr>
                                <w:rFonts w:hint="default" w:ascii="Cambria Math" w:hAnsi="Cambria Math"/>
                                <w:i/>
                                <w:szCs w:val="20"/>
                                <w:lang w:eastAsia="zh-CN"/>
                              </w:rPr>
                            </m:ctrlPr>
                          </m:mPr>
                          <m:mr>
                            <m:e>
                              <m:r>
                                <m:rPr/>
                                <w:rPr>
                                  <w:rFonts w:hint="default" w:ascii="Cambria Math" w:hAnsi="Cambria Math"/>
                                  <w:szCs w:val="20"/>
                                  <w:lang w:eastAsia="zh-CN"/>
                                </w:rPr>
                                <m:t>0.12</m:t>
                              </m:r>
                              <m:ctrlPr>
                                <w:rPr>
                                  <w:rFonts w:hint="default" w:ascii="Cambria Math" w:hAnsi="Cambria Math"/>
                                  <w:i/>
                                  <w:szCs w:val="20"/>
                                  <w:lang w:eastAsia="zh-CN"/>
                                </w:rPr>
                              </m:ctrlPr>
                            </m:e>
                            <m:e>
                              <m:r>
                                <m:rPr/>
                                <w:rPr>
                                  <w:rFonts w:hint="default" w:ascii="Cambria Math" w:hAnsi="Cambria Math"/>
                                  <w:szCs w:val="20"/>
                                  <w:lang w:eastAsia="zh-CN"/>
                                </w:rPr>
                                <m:t>1.00</m:t>
                              </m:r>
                              <m:ctrlPr>
                                <w:rPr>
                                  <w:rFonts w:hint="default" w:ascii="Cambria Math" w:hAnsi="Cambria Math"/>
                                  <w:i/>
                                  <w:szCs w:val="20"/>
                                  <w:lang w:eastAsia="zh-CN"/>
                                </w:rPr>
                              </m:ctrlPr>
                            </m:e>
                          </m:mr>
                          <m:mr>
                            <m:e>
                              <m:r>
                                <m:rPr/>
                                <w:rPr>
                                  <w:rFonts w:hint="default" w:ascii="Cambria Math" w:hAnsi="Cambria Math"/>
                                  <w:szCs w:val="20"/>
                                  <w:lang w:eastAsia="zh-CN"/>
                                </w:rPr>
                                <m:t>0.20</m:t>
                              </m:r>
                              <m:ctrlPr>
                                <w:rPr>
                                  <w:rFonts w:hint="default" w:ascii="Cambria Math" w:hAnsi="Cambria Math"/>
                                  <w:i/>
                                  <w:szCs w:val="20"/>
                                  <w:lang w:eastAsia="zh-CN"/>
                                </w:rPr>
                              </m:ctrlPr>
                            </m:e>
                            <m:e>
                              <m:r>
                                <m:rPr/>
                                <w:rPr>
                                  <w:rFonts w:hint="default" w:ascii="Cambria Math" w:hAnsi="Cambria Math"/>
                                  <w:szCs w:val="20"/>
                                  <w:lang w:eastAsia="zh-CN"/>
                                </w:rPr>
                                <m:t>0.11</m:t>
                              </m:r>
                              <m:ctrlPr>
                                <w:rPr>
                                  <w:rFonts w:hint="default" w:ascii="Cambria Math" w:hAnsi="Cambria Math"/>
                                  <w:i/>
                                  <w:szCs w:val="20"/>
                                  <w:lang w:eastAsia="zh-CN"/>
                                </w:rPr>
                              </m:ctrlPr>
                            </m:e>
                          </m:mr>
                          <m:mr>
                            <m:e>
                              <m:r>
                                <m:rPr/>
                                <w:rPr>
                                  <w:rFonts w:hint="default" w:ascii="Cambria Math" w:hAnsi="Cambria Math"/>
                                  <w:szCs w:val="20"/>
                                  <w:lang w:eastAsia="zh-CN"/>
                                </w:rPr>
                                <m:t>0.12</m:t>
                              </m:r>
                              <m:ctrlPr>
                                <w:rPr>
                                  <w:rFonts w:hint="default" w:ascii="Cambria Math" w:hAnsi="Cambria Math"/>
                                  <w:i/>
                                  <w:szCs w:val="20"/>
                                  <w:lang w:eastAsia="zh-CN"/>
                                </w:rPr>
                              </m:ctrlPr>
                            </m:e>
                            <m:e>
                              <m:r>
                                <m:rPr/>
                                <w:rPr>
                                  <w:rFonts w:hint="default" w:ascii="Cambria Math" w:hAnsi="Cambria Math"/>
                                  <w:szCs w:val="20"/>
                                  <w:lang w:eastAsia="zh-CN"/>
                                </w:rPr>
                                <m:t>0.30</m:t>
                              </m:r>
                              <m:ctrlPr>
                                <w:rPr>
                                  <w:rFonts w:hint="default" w:ascii="Cambria Math" w:hAnsi="Cambria Math"/>
                                  <w:i/>
                                  <w:szCs w:val="20"/>
                                  <w:lang w:eastAsia="zh-CN"/>
                                </w:rPr>
                              </m:ctrlPr>
                            </m:e>
                          </m:mr>
                        </m:m>
                        <m:r>
                          <m:rPr/>
                          <w:rPr>
                            <w:rFonts w:hint="default" w:ascii="Cambria Math" w:hAnsi="Cambria Math"/>
                            <w:szCs w:val="20"/>
                            <w:lang w:eastAsia="zh-CN"/>
                          </w:rPr>
                          <m:t xml:space="preserve">    </m:t>
                        </m:r>
                        <m:m>
                          <m:mPr>
                            <m:mcs>
                              <m:mc>
                                <m:mcPr>
                                  <m:count m:val="2"/>
                                  <m:mcJc m:val="center"/>
                                </m:mcPr>
                              </m:mc>
                            </m:mcs>
                            <m:ctrlPr>
                              <w:rPr>
                                <w:rFonts w:hint="default" w:ascii="Cambria Math" w:hAnsi="Cambria Math"/>
                                <w:i/>
                                <w:szCs w:val="20"/>
                                <w:lang w:eastAsia="zh-CN"/>
                              </w:rPr>
                            </m:ctrlPr>
                          </m:mPr>
                          <m:mr>
                            <m:e>
                              <m:r>
                                <m:rPr/>
                                <w:rPr>
                                  <w:rFonts w:hint="default" w:ascii="Cambria Math" w:hAnsi="Cambria Math"/>
                                  <w:szCs w:val="20"/>
                                  <w:lang w:eastAsia="zh-CN"/>
                                </w:rPr>
                                <m:t>0.11</m:t>
                              </m:r>
                              <m:ctrlPr>
                                <w:rPr>
                                  <w:rFonts w:hint="default" w:ascii="Cambria Math" w:hAnsi="Cambria Math"/>
                                  <w:i/>
                                  <w:szCs w:val="20"/>
                                  <w:lang w:eastAsia="zh-CN"/>
                                </w:rPr>
                              </m:ctrlPr>
                            </m:e>
                            <m:e>
                              <m:r>
                                <m:rPr/>
                                <w:rPr>
                                  <w:rFonts w:hint="default" w:ascii="Cambria Math" w:hAnsi="Cambria Math"/>
                                  <w:szCs w:val="20"/>
                                  <w:lang w:eastAsia="zh-CN"/>
                                </w:rPr>
                                <m:t>0.30</m:t>
                              </m:r>
                              <m:ctrlPr>
                                <w:rPr>
                                  <w:rFonts w:hint="default" w:ascii="Cambria Math" w:hAnsi="Cambria Math"/>
                                  <w:i/>
                                  <w:szCs w:val="20"/>
                                  <w:lang w:eastAsia="zh-CN"/>
                                </w:rPr>
                              </m:ctrlPr>
                            </m:e>
                          </m:mr>
                          <m:mr>
                            <m:e>
                              <m:r>
                                <m:rPr/>
                                <w:rPr>
                                  <w:rFonts w:hint="default" w:ascii="Cambria Math" w:hAnsi="Cambria Math"/>
                                  <w:szCs w:val="20"/>
                                  <w:lang w:eastAsia="zh-CN"/>
                                </w:rPr>
                                <m:t>1.00</m:t>
                              </m:r>
                              <m:ctrlPr>
                                <w:rPr>
                                  <w:rFonts w:hint="default" w:ascii="Cambria Math" w:hAnsi="Cambria Math"/>
                                  <w:i/>
                                  <w:szCs w:val="20"/>
                                  <w:lang w:eastAsia="zh-CN"/>
                                </w:rPr>
                              </m:ctrlPr>
                            </m:e>
                            <m:e>
                              <m:r>
                                <m:rPr/>
                                <w:rPr>
                                  <w:rFonts w:hint="default" w:ascii="Cambria Math" w:hAnsi="Cambria Math"/>
                                  <w:szCs w:val="20"/>
                                  <w:lang w:eastAsia="zh-CN"/>
                                </w:rPr>
                                <m:t>0.10</m:t>
                              </m:r>
                              <m:ctrlPr>
                                <w:rPr>
                                  <w:rFonts w:hint="default" w:ascii="Cambria Math" w:hAnsi="Cambria Math"/>
                                  <w:i/>
                                  <w:szCs w:val="20"/>
                                  <w:lang w:eastAsia="zh-CN"/>
                                </w:rPr>
                              </m:ctrlPr>
                            </m:e>
                          </m:mr>
                          <m:mr>
                            <m:e>
                              <m:r>
                                <m:rPr/>
                                <w:rPr>
                                  <w:rFonts w:hint="default" w:ascii="Cambria Math" w:hAnsi="Cambria Math"/>
                                  <w:szCs w:val="20"/>
                                  <w:lang w:eastAsia="zh-CN"/>
                                </w:rPr>
                                <m:t>0.10</m:t>
                              </m:r>
                              <m:ctrlPr>
                                <w:rPr>
                                  <w:rFonts w:hint="default" w:ascii="Cambria Math" w:hAnsi="Cambria Math"/>
                                  <w:i/>
                                  <w:szCs w:val="20"/>
                                  <w:lang w:eastAsia="zh-CN"/>
                                </w:rPr>
                              </m:ctrlPr>
                            </m:e>
                            <m:e>
                              <m:r>
                                <m:rPr/>
                                <w:rPr>
                                  <w:rFonts w:hint="default" w:ascii="Cambria Math" w:hAnsi="Cambria Math"/>
                                  <w:szCs w:val="20"/>
                                  <w:lang w:eastAsia="zh-CN"/>
                                </w:rPr>
                                <m:t>1.00</m:t>
                              </m:r>
                              <m:ctrlPr>
                                <w:rPr>
                                  <w:rFonts w:hint="default" w:ascii="Cambria Math" w:hAnsi="Cambria Math"/>
                                  <w:i/>
                                  <w:szCs w:val="20"/>
                                  <w:lang w:eastAsia="zh-CN"/>
                                </w:rPr>
                              </m:ctrlPr>
                            </m:e>
                          </m:mr>
                        </m:m>
                        <m:ctrlPr>
                          <w:rPr>
                            <w:rFonts w:hint="default" w:ascii="Cambria Math" w:hAnsi="Cambria Math"/>
                            <w:i/>
                            <w:szCs w:val="20"/>
                            <w:lang w:eastAsia="zh-CN"/>
                          </w:rPr>
                        </m:ctrlPr>
                      </m:e>
                    </m:eqArr>
                    <m:ctrlPr>
                      <w:rPr>
                        <w:rFonts w:hint="default" w:ascii="Cambria Math" w:hAnsi="Cambria Math"/>
                        <w:i/>
                        <w:szCs w:val="20"/>
                        <w:lang w:eastAsia="zh-CN"/>
                      </w:rPr>
                    </m:ctrlPr>
                  </m:e>
                </m:d>
              </m:oMath>
            </m:oMathPara>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lang w:val="en-GB" w:eastAsia="zh-CN" w:bidi="ar-SA"/>
              </w:rPr>
            </w:pPr>
            <w:r>
              <w:rPr>
                <w:rFonts w:hint="default" w:ascii="Arial" w:hAnsi="Arial" w:eastAsia="Times New Roman" w:cs="Times New Roman"/>
                <w:sz w:val="18"/>
                <w:szCs w:val="20"/>
                <w:lang w:val="en-GB" w:eastAsia="zh-CN" w:bidi="ar-SA"/>
              </w:rPr>
              <w:t>Option 3:</w:t>
            </w:r>
          </w:p>
          <w:p>
            <w:pPr>
              <w:keepNext w:val="0"/>
              <w:keepLines w:val="0"/>
              <w:widowControl/>
              <w:suppressLineNumbers w:val="0"/>
              <w:overflowPunct w:val="0"/>
              <w:autoSpaceDE w:val="0"/>
              <w:autoSpaceDN w:val="0"/>
              <w:adjustRightInd w:val="0"/>
              <w:spacing w:before="120" w:beforeLines="50" w:beforeAutospacing="0" w:after="180" w:afterLines="-2147483648" w:afterAutospacing="0" w:line="240" w:lineRule="auto"/>
              <w:ind w:left="0" w:right="0"/>
              <w:jc w:val="both"/>
              <w:textAlignment w:val="baseline"/>
              <w:rPr>
                <w:rFonts w:hint="default" w:ascii="Arial" w:hAnsi="Arial" w:eastAsia="Times New Roman" w:cs="Arial"/>
                <w:kern w:val="0"/>
                <w:sz w:val="16"/>
                <w:szCs w:val="20"/>
                <w:lang w:val="sv-SE" w:eastAsia="zh-CN"/>
              </w:rPr>
            </w:pPr>
            <m:oMathPara>
              <m:oMath>
                <m:d>
                  <m:dPr>
                    <m:begChr m:val="["/>
                    <m:endChr m:val="]"/>
                    <m:ctrlPr>
                      <w:rPr>
                        <w:rFonts w:hint="default" w:ascii="Cambria Math" w:hAnsi="Cambria Math" w:cs="Arial"/>
                        <w:sz w:val="16"/>
                        <w:szCs w:val="20"/>
                        <w:lang w:val="sv-SE" w:eastAsia="zh-CN"/>
                      </w:rPr>
                    </m:ctrlPr>
                  </m:dPr>
                  <m:e>
                    <m:m>
                      <m:mPr>
                        <m:mcs>
                          <m:mc>
                            <m:mcPr>
                              <m:count m:val="3"/>
                              <m:mcJc m:val="center"/>
                            </m:mcPr>
                          </m:mc>
                        </m:mcs>
                        <m:ctrlPr>
                          <w:rPr>
                            <w:rFonts w:hint="default" w:ascii="Cambria Math" w:hAnsi="Cambria Math" w:cs="Arial"/>
                            <w:i/>
                            <w:sz w:val="16"/>
                            <w:szCs w:val="20"/>
                            <w:lang w:val="sv-SE" w:eastAsia="zh-CN"/>
                          </w:rPr>
                        </m:ctrlPr>
                      </m:mPr>
                      <m:mr>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1.00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0.22</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0.22</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1.00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0.30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0.58</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0.60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0.05</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r>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0.30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0.60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0.58</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1.00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1.00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r>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0.05</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1.00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0.30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0.30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1.00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sz w:val="16"/>
                        <w:szCs w:val="20"/>
                        <w:lang w:val="sv-SE" w:eastAsia="zh-CN"/>
                      </w:rPr>
                    </m:ctrlPr>
                  </m:e>
                </m:d>
              </m:oMath>
            </m:oMathPara>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lang w:val="en-GB" w:eastAsia="zh-CN" w:bidi="ar-SA"/>
              </w:rPr>
            </w:pP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lang w:val="en-GB" w:eastAsia="zh-CN" w:bidi="ar-SA"/>
              </w:rPr>
            </w:pPr>
            <w:r>
              <w:rPr>
                <w:rFonts w:hint="default" w:ascii="Arial" w:hAnsi="Arial" w:eastAsia="Times New Roman" w:cs="Times New Roman"/>
                <w:sz w:val="18"/>
                <w:szCs w:val="20"/>
                <w:lang w:val="en-GB" w:eastAsia="zh-CN" w:bidi="ar-SA"/>
              </w:rPr>
              <w:t>Option 4:</w:t>
            </w:r>
          </w:p>
          <w:p>
            <w:pPr>
              <w:keepNext w:val="0"/>
              <w:keepLines w:val="0"/>
              <w:widowControl/>
              <w:suppressLineNumbers w:val="0"/>
              <w:overflowPunct w:val="0"/>
              <w:autoSpaceDE w:val="0"/>
              <w:autoSpaceDN w:val="0"/>
              <w:adjustRightInd w:val="0"/>
              <w:spacing w:before="120" w:beforeLines="50" w:beforeAutospacing="0" w:after="180" w:afterLines="-2147483648" w:afterAutospacing="0" w:line="240" w:lineRule="auto"/>
              <w:ind w:left="0" w:right="0"/>
              <w:jc w:val="both"/>
              <w:textAlignment w:val="baseline"/>
              <w:rPr>
                <w:rFonts w:hint="default" w:ascii="Arial" w:hAnsi="Arial" w:eastAsia="Times New Roman" w:cs="Arial"/>
                <w:kern w:val="0"/>
                <w:sz w:val="16"/>
                <w:szCs w:val="20"/>
                <w:lang w:val="sv-SE" w:eastAsia="zh-CN"/>
              </w:rPr>
            </w:pPr>
            <m:oMathPara>
              <m:oMath>
                <m:d>
                  <m:dPr>
                    <m:begChr m:val="["/>
                    <m:endChr m:val="]"/>
                    <m:ctrlPr>
                      <w:rPr>
                        <w:rFonts w:hint="default" w:ascii="Cambria Math" w:hAnsi="Cambria Math" w:cs="Arial"/>
                        <w:sz w:val="16"/>
                        <w:szCs w:val="20"/>
                        <w:lang w:val="sv-SE" w:eastAsia="zh-CN"/>
                      </w:rPr>
                    </m:ctrlPr>
                  </m:dPr>
                  <m:e>
                    <m:m>
                      <m:mPr>
                        <m:mcs>
                          <m:mc>
                            <m:mcPr>
                              <m:count m:val="3"/>
                              <m:mcJc m:val="center"/>
                            </m:mcPr>
                          </m:mc>
                        </m:mcs>
                        <m:ctrlPr>
                          <w:rPr>
                            <w:rFonts w:hint="default" w:ascii="Cambria Math" w:hAnsi="Cambria Math" w:cs="Arial"/>
                            <w:i/>
                            <w:sz w:val="16"/>
                            <w:szCs w:val="20"/>
                            <w:lang w:val="sv-SE" w:eastAsia="zh-CN"/>
                          </w:rPr>
                        </m:ctrlPr>
                      </m:mPr>
                      <m:mr>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1.00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1.00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0.25</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0.35</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0.50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0.05</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0.05</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r>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0.25</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0.50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0.35</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1.00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1.00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0.05</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r>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0.05</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0.05</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0.05</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2"/>
                                    <m:mcJc m:val="center"/>
                                  </m:mcPr>
                                </m:mc>
                              </m:mcs>
                              <m:ctrlPr>
                                <w:rPr>
                                  <w:rFonts w:hint="default" w:ascii="Cambria Math" w:hAnsi="Cambria Math" w:cs="Arial"/>
                                  <w:i/>
                                  <w:sz w:val="16"/>
                                  <w:szCs w:val="20"/>
                                  <w:lang w:val="sv-SE" w:eastAsia="zh-CN"/>
                                </w:rPr>
                              </m:ctrlPr>
                            </m:mPr>
                            <m:mr>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1.00</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e>
                                <m:m>
                                  <m:mPr>
                                    <m:mcs>
                                      <m:mc>
                                        <m:mcPr>
                                          <m:count m:val="1"/>
                                          <m:mcJc m:val="center"/>
                                        </m:mcPr>
                                      </m:mc>
                                    </m:mcs>
                                    <m:ctrlPr>
                                      <w:rPr>
                                        <w:rFonts w:hint="default" w:ascii="Cambria Math" w:hAnsi="Cambria Math" w:cs="Arial"/>
                                        <w:i/>
                                        <w:sz w:val="16"/>
                                        <w:szCs w:val="20"/>
                                        <w:lang w:val="sv-SE" w:eastAsia="zh-CN"/>
                                      </w:rPr>
                                    </m:ctrlPr>
                                  </m:mPr>
                                  <m:mr>
                                    <m:e>
                                      <m:r>
                                        <m:rPr/>
                                        <w:rPr>
                                          <w:rFonts w:hint="default" w:ascii="Cambria Math" w:hAnsi="Cambria Math" w:cs="Arial"/>
                                          <w:sz w:val="16"/>
                                          <w:szCs w:val="20"/>
                                          <w:lang w:val="sv-SE" w:eastAsia="zh-CN"/>
                                        </w:rPr>
                                        <m:t>0.15</m:t>
                                      </m:r>
                                      <m:ctrlPr>
                                        <w:rPr>
                                          <w:rFonts w:hint="default" w:ascii="Cambria Math" w:hAnsi="Cambria Math" w:cs="Arial"/>
                                          <w:i/>
                                          <w:sz w:val="16"/>
                                          <w:szCs w:val="20"/>
                                          <w:lang w:val="sv-SE" w:eastAsia="zh-CN"/>
                                        </w:rPr>
                                      </m:ctrlPr>
                                    </m:e>
                                  </m:mr>
                                  <m:mr>
                                    <m:e>
                                      <m:r>
                                        <m:rPr/>
                                        <w:rPr>
                                          <w:rFonts w:hint="default" w:ascii="Cambria Math" w:hAnsi="Cambria Math" w:cs="Arial"/>
                                          <w:sz w:val="16"/>
                                          <w:szCs w:val="20"/>
                                          <w:lang w:val="sv-SE" w:eastAsia="zh-CN"/>
                                        </w:rPr>
                                        <m:t>1.00</m:t>
                                      </m:r>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i/>
                              <w:sz w:val="16"/>
                              <w:szCs w:val="20"/>
                              <w:lang w:val="sv-SE" w:eastAsia="zh-CN"/>
                            </w:rPr>
                          </m:ctrlPr>
                        </m:e>
                      </m:mr>
                    </m:m>
                    <m:ctrlPr>
                      <w:rPr>
                        <w:rFonts w:hint="default" w:ascii="Cambria Math" w:hAnsi="Cambria Math" w:cs="Arial"/>
                        <w:sz w:val="16"/>
                        <w:szCs w:val="20"/>
                        <w:lang w:val="sv-SE" w:eastAsia="zh-CN"/>
                      </w:rPr>
                    </m:ctrlPr>
                  </m:e>
                </m:d>
              </m:oMath>
            </m:oMathPara>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lang w:val="en-GB" w:eastAsia="zh-CN" w:bidi="ar-SA"/>
              </w:rPr>
            </w:pP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lang w:val="en-GB" w:eastAsia="zh-CN" w:bidi="ar-SA"/>
              </w:rPr>
            </w:pPr>
            <w:r>
              <w:rPr>
                <w:rFonts w:hint="default" w:ascii="Arial" w:hAnsi="Arial" w:eastAsia="Times New Roman" w:cs="Times New Roman"/>
                <w:sz w:val="18"/>
                <w:szCs w:val="20"/>
                <w:lang w:val="en-GB" w:eastAsia="zh-CN" w:bidi="ar-SA"/>
              </w:rPr>
              <w:t>Option 5: 3GPP MIMO correlation matrix with beta=0.00718 (Option 5 is parametric and to be justified since Options 1-4 are based on measurements)</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lang w:val="en-GB" w:eastAsia="zh-CN" w:bidi="ar-SA"/>
              </w:rPr>
            </w:pP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lang w:val="en-GB" w:eastAsia="zh-CN" w:bidi="ar-SA"/>
              </w:rPr>
            </w:pPr>
            <w:r>
              <w:rPr>
                <w:rFonts w:hint="default" w:ascii="Arial" w:hAnsi="Arial" w:eastAsia="Times New Roman" w:cs="Times New Roman"/>
                <w:sz w:val="18"/>
                <w:szCs w:val="20"/>
                <w:lang w:val="en-GB" w:eastAsia="zh-CN" w:bidi="ar-SA"/>
              </w:rPr>
              <w:t>Note: For the feasibility analysis, antenna efficiency can be considered. Companies are encouraged to provide the antenna efficiency numbers.</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3194"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highlight w:val="yellow"/>
                <w:lang w:val="en-GB" w:eastAsia="en-GB" w:bidi="ar-SA"/>
              </w:rPr>
            </w:pPr>
            <w:r>
              <w:rPr>
                <w:rFonts w:hint="default" w:ascii="Arial" w:hAnsi="Arial" w:eastAsia="Times New Roman" w:cs="Times New Roman"/>
                <w:sz w:val="18"/>
                <w:szCs w:val="20"/>
                <w:lang w:val="en-GB" w:eastAsia="en-GB" w:bidi="ar-SA"/>
              </w:rPr>
              <w:t>BS correlation matrix</w:t>
            </w:r>
          </w:p>
        </w:tc>
        <w:tc>
          <w:tcPr>
            <w:tcW w:w="615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lang w:val="en-US" w:eastAsia="en-GB" w:bidi="ar-SA"/>
              </w:rPr>
            </w:pPr>
            <w:r>
              <w:rPr>
                <w:rFonts w:hint="default" w:ascii="Arial" w:hAnsi="Arial" w:eastAsia="Times New Roman" w:cs="Times New Roman"/>
                <w:sz w:val="18"/>
                <w:szCs w:val="20"/>
                <w:lang w:val="en-US" w:eastAsia="en-GB" w:bidi="ar-SA"/>
              </w:rPr>
              <w:t>Option 1: 3GPP MIMO correlation matrix with Alpha = 0.1</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lang w:val="en-US" w:eastAsia="en-GB" w:bidi="ar-SA"/>
              </w:rPr>
            </w:pPr>
            <w:r>
              <w:rPr>
                <w:rFonts w:hint="default" w:ascii="Arial" w:hAnsi="Arial" w:eastAsia="Times New Roman" w:cs="Times New Roman"/>
                <w:sz w:val="18"/>
                <w:szCs w:val="20"/>
                <w:lang w:val="en-US" w:eastAsia="en-GB" w:bidi="ar-SA"/>
              </w:rPr>
              <w:t>Option 2: 3GPP MIMO correlation matrix with Alpha = 0.0</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lang w:val="en-US" w:eastAsia="en-GB" w:bidi="ar-SA"/>
              </w:rPr>
            </w:pPr>
            <w:r>
              <w:rPr>
                <w:rFonts w:hint="default" w:ascii="Arial" w:hAnsi="Arial" w:eastAsia="Times New Roman" w:cs="Times New Roman"/>
                <w:sz w:val="18"/>
                <w:szCs w:val="20"/>
                <w:lang w:val="en-US" w:eastAsia="en-GB" w:bidi="ar-SA"/>
              </w:rPr>
              <w:t>Other options are not precluded.</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lang w:val="en-US" w:eastAsia="en-GB" w:bidi="ar-SA"/>
              </w:rPr>
            </w:pP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szCs w:val="20"/>
                <w:lang w:val="en-US" w:eastAsia="en-GB" w:bidi="ar-SA"/>
              </w:rPr>
            </w:pPr>
            <w:r>
              <w:rPr>
                <w:rFonts w:hint="default" w:ascii="Arial" w:hAnsi="Arial" w:eastAsia="Times New Roman" w:cs="Times New Roman"/>
                <w:sz w:val="18"/>
                <w:szCs w:val="20"/>
                <w:lang w:val="en-US" w:eastAsia="en-GB" w:bidi="ar-SA"/>
              </w:rPr>
              <w:t>Matrices requested from interested BS vendors for RAN4#113</w:t>
            </w:r>
          </w:p>
        </w:tc>
      </w:tr>
    </w:tbl>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8"/>
          <w:spacing w:before="120" w:after="120"/>
          <w:jc w:val="center"/>
        </w:pPr>
        <w:r>
          <w:fldChar w:fldCharType="begin"/>
        </w:r>
        <w:r>
          <w:instrText xml:space="preserve"> PAGE   \* MERGEFORMAT </w:instrText>
        </w:r>
        <w:r>
          <w:fldChar w:fldCharType="separate"/>
        </w:r>
        <w:r>
          <w:t>2</w:t>
        </w:r>
        <w:r>
          <w:fldChar w:fldCharType="end"/>
        </w:r>
      </w:p>
    </w:sdtContent>
  </w:sdt>
  <w:p>
    <w:pPr>
      <w:pStyle w:val="1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8"/>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7"/>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4"/>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6"/>
      <w:lvlText w:val="•"/>
      <w:lvlJc w:val="left"/>
      <w:pPr>
        <w:tabs>
          <w:tab w:val="left" w:pos="840"/>
        </w:tabs>
        <w:ind w:left="840" w:hanging="420"/>
      </w:pPr>
      <w:rPr>
        <w:rFonts w:hint="default" w:ascii="Arial" w:hAnsi="Arial" w:eastAsia="宋体" w:cs="Arial"/>
        <w:b/>
        <w:bCs/>
        <w:i/>
        <w:iCs/>
      </w:rPr>
    </w:lvl>
    <w:lvl w:ilvl="2" w:tentative="0">
      <w:start w:val="1"/>
      <w:numFmt w:val="bullet"/>
      <w:pStyle w:val="47"/>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7"/>
  </w:num>
  <w:num w:numId="3">
    <w:abstractNumId w:val="4"/>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74671"/>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7D1D66"/>
    <w:rsid w:val="059D265F"/>
    <w:rsid w:val="05B2756C"/>
    <w:rsid w:val="05B92EC1"/>
    <w:rsid w:val="05D03328"/>
    <w:rsid w:val="05E078B3"/>
    <w:rsid w:val="05EE6E49"/>
    <w:rsid w:val="0601277E"/>
    <w:rsid w:val="060C5931"/>
    <w:rsid w:val="060C5AED"/>
    <w:rsid w:val="06103146"/>
    <w:rsid w:val="06172561"/>
    <w:rsid w:val="061E54DA"/>
    <w:rsid w:val="061E5E22"/>
    <w:rsid w:val="06460B91"/>
    <w:rsid w:val="0654187C"/>
    <w:rsid w:val="065475DE"/>
    <w:rsid w:val="0677709C"/>
    <w:rsid w:val="067C28D6"/>
    <w:rsid w:val="068677B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D524D"/>
    <w:rsid w:val="07FA7E23"/>
    <w:rsid w:val="080124E3"/>
    <w:rsid w:val="080C7FA0"/>
    <w:rsid w:val="082D5BBC"/>
    <w:rsid w:val="08341060"/>
    <w:rsid w:val="08787FF0"/>
    <w:rsid w:val="088178D8"/>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C1315"/>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55772D"/>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73DDA"/>
    <w:rsid w:val="0FEC680C"/>
    <w:rsid w:val="0FFD1BFC"/>
    <w:rsid w:val="0FFD3E3B"/>
    <w:rsid w:val="10007AD6"/>
    <w:rsid w:val="100E19D0"/>
    <w:rsid w:val="101C4A03"/>
    <w:rsid w:val="101D0C86"/>
    <w:rsid w:val="10431B36"/>
    <w:rsid w:val="104A023B"/>
    <w:rsid w:val="10505F3B"/>
    <w:rsid w:val="1058028C"/>
    <w:rsid w:val="105A6448"/>
    <w:rsid w:val="106D2686"/>
    <w:rsid w:val="107C3E2C"/>
    <w:rsid w:val="107D41AE"/>
    <w:rsid w:val="108C2479"/>
    <w:rsid w:val="10C715C5"/>
    <w:rsid w:val="10D335EF"/>
    <w:rsid w:val="10E746EA"/>
    <w:rsid w:val="10E83FE0"/>
    <w:rsid w:val="10EC3168"/>
    <w:rsid w:val="10F52718"/>
    <w:rsid w:val="11163B35"/>
    <w:rsid w:val="114028DC"/>
    <w:rsid w:val="11404ED0"/>
    <w:rsid w:val="116A74C9"/>
    <w:rsid w:val="116F1EB0"/>
    <w:rsid w:val="11763F26"/>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31DAA"/>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21E1B"/>
    <w:rsid w:val="16EB6E00"/>
    <w:rsid w:val="16FD2447"/>
    <w:rsid w:val="170A628B"/>
    <w:rsid w:val="1712339A"/>
    <w:rsid w:val="171E63FC"/>
    <w:rsid w:val="17206F29"/>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8F86F87"/>
    <w:rsid w:val="19001FFC"/>
    <w:rsid w:val="190E2B4A"/>
    <w:rsid w:val="19256D7A"/>
    <w:rsid w:val="19322C83"/>
    <w:rsid w:val="193275C2"/>
    <w:rsid w:val="19394FD2"/>
    <w:rsid w:val="19413FB3"/>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E5F9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E30A9"/>
    <w:rsid w:val="1DA3542A"/>
    <w:rsid w:val="1DAB1006"/>
    <w:rsid w:val="1DB33C11"/>
    <w:rsid w:val="1DC43CB7"/>
    <w:rsid w:val="1DC65562"/>
    <w:rsid w:val="1DD32F44"/>
    <w:rsid w:val="1DE22D4F"/>
    <w:rsid w:val="1DE94164"/>
    <w:rsid w:val="1DEA459C"/>
    <w:rsid w:val="1DEE1B11"/>
    <w:rsid w:val="1E164B52"/>
    <w:rsid w:val="1E273844"/>
    <w:rsid w:val="1E2F243E"/>
    <w:rsid w:val="1E455D19"/>
    <w:rsid w:val="1E480E15"/>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1514A"/>
    <w:rsid w:val="1FE312AC"/>
    <w:rsid w:val="1FEC5915"/>
    <w:rsid w:val="1FED32EF"/>
    <w:rsid w:val="200631D6"/>
    <w:rsid w:val="20412383"/>
    <w:rsid w:val="20446081"/>
    <w:rsid w:val="204852AD"/>
    <w:rsid w:val="204E6676"/>
    <w:rsid w:val="20590807"/>
    <w:rsid w:val="205A5AA0"/>
    <w:rsid w:val="20773A28"/>
    <w:rsid w:val="20814938"/>
    <w:rsid w:val="208574F4"/>
    <w:rsid w:val="208F6BAF"/>
    <w:rsid w:val="209A6308"/>
    <w:rsid w:val="20A062EA"/>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7263A"/>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4254A"/>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204B5D"/>
    <w:rsid w:val="272F31A0"/>
    <w:rsid w:val="27342901"/>
    <w:rsid w:val="273D2762"/>
    <w:rsid w:val="27470B72"/>
    <w:rsid w:val="27483874"/>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585A33"/>
    <w:rsid w:val="2A6E31F8"/>
    <w:rsid w:val="2A8A2F9C"/>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62663F"/>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E7AA7"/>
    <w:rsid w:val="316E7CA0"/>
    <w:rsid w:val="317206BF"/>
    <w:rsid w:val="317932EA"/>
    <w:rsid w:val="317E5000"/>
    <w:rsid w:val="317F0D65"/>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F351E"/>
    <w:rsid w:val="32E4188C"/>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E23D2D"/>
    <w:rsid w:val="33FE62E7"/>
    <w:rsid w:val="340D25F6"/>
    <w:rsid w:val="340F5E5C"/>
    <w:rsid w:val="342B76C7"/>
    <w:rsid w:val="342C472B"/>
    <w:rsid w:val="343A1527"/>
    <w:rsid w:val="34447898"/>
    <w:rsid w:val="344E62FA"/>
    <w:rsid w:val="34630E03"/>
    <w:rsid w:val="3472234D"/>
    <w:rsid w:val="347B114D"/>
    <w:rsid w:val="347D500F"/>
    <w:rsid w:val="34830157"/>
    <w:rsid w:val="34872D27"/>
    <w:rsid w:val="348D495C"/>
    <w:rsid w:val="349164BD"/>
    <w:rsid w:val="34B32986"/>
    <w:rsid w:val="34BD02AE"/>
    <w:rsid w:val="34C12126"/>
    <w:rsid w:val="34D13A35"/>
    <w:rsid w:val="34D43731"/>
    <w:rsid w:val="34DA26A8"/>
    <w:rsid w:val="34E63919"/>
    <w:rsid w:val="34E960F1"/>
    <w:rsid w:val="35033D8D"/>
    <w:rsid w:val="350B42D5"/>
    <w:rsid w:val="350F6258"/>
    <w:rsid w:val="351622C7"/>
    <w:rsid w:val="351A603C"/>
    <w:rsid w:val="352821F6"/>
    <w:rsid w:val="35387F19"/>
    <w:rsid w:val="3539550B"/>
    <w:rsid w:val="353C7CFC"/>
    <w:rsid w:val="355910C1"/>
    <w:rsid w:val="356652C5"/>
    <w:rsid w:val="356678B4"/>
    <w:rsid w:val="3573649F"/>
    <w:rsid w:val="357E4B0A"/>
    <w:rsid w:val="35866D7F"/>
    <w:rsid w:val="358F6BDF"/>
    <w:rsid w:val="359F4D80"/>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C43643"/>
    <w:rsid w:val="39C77B3B"/>
    <w:rsid w:val="39CB22FB"/>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213B2"/>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53A08"/>
    <w:rsid w:val="3C0E397E"/>
    <w:rsid w:val="3C197E95"/>
    <w:rsid w:val="3C1A201A"/>
    <w:rsid w:val="3C2B779F"/>
    <w:rsid w:val="3C337B9C"/>
    <w:rsid w:val="3C371D4B"/>
    <w:rsid w:val="3C3B4B9D"/>
    <w:rsid w:val="3C413C82"/>
    <w:rsid w:val="3C471C36"/>
    <w:rsid w:val="3C5A6B66"/>
    <w:rsid w:val="3C6B7D5C"/>
    <w:rsid w:val="3C7207B9"/>
    <w:rsid w:val="3C734413"/>
    <w:rsid w:val="3C8556C4"/>
    <w:rsid w:val="3C877D2F"/>
    <w:rsid w:val="3C982C18"/>
    <w:rsid w:val="3CA734F8"/>
    <w:rsid w:val="3CC74223"/>
    <w:rsid w:val="3CC828D0"/>
    <w:rsid w:val="3CD91266"/>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1274D"/>
    <w:rsid w:val="40C93CB0"/>
    <w:rsid w:val="40EC7D18"/>
    <w:rsid w:val="40ED11A0"/>
    <w:rsid w:val="40FD1BF0"/>
    <w:rsid w:val="41096BC0"/>
    <w:rsid w:val="410A75B6"/>
    <w:rsid w:val="410B452A"/>
    <w:rsid w:val="413353F1"/>
    <w:rsid w:val="41466208"/>
    <w:rsid w:val="41513BC9"/>
    <w:rsid w:val="415735F1"/>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2077E"/>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BD10C7"/>
    <w:rsid w:val="43CF0206"/>
    <w:rsid w:val="43D85D6D"/>
    <w:rsid w:val="43EC6F1F"/>
    <w:rsid w:val="43FE44BA"/>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07105"/>
    <w:rsid w:val="458667C4"/>
    <w:rsid w:val="45883085"/>
    <w:rsid w:val="458F5163"/>
    <w:rsid w:val="459C5A47"/>
    <w:rsid w:val="45A82F38"/>
    <w:rsid w:val="45AC0441"/>
    <w:rsid w:val="45AE5935"/>
    <w:rsid w:val="45B047D1"/>
    <w:rsid w:val="45BE6191"/>
    <w:rsid w:val="45BE648C"/>
    <w:rsid w:val="45CD2126"/>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5B4420"/>
    <w:rsid w:val="47696F9C"/>
    <w:rsid w:val="476D526A"/>
    <w:rsid w:val="476F439D"/>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B36BDD"/>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AF115B"/>
    <w:rsid w:val="4EC50C90"/>
    <w:rsid w:val="4EDB58B2"/>
    <w:rsid w:val="4EE925CE"/>
    <w:rsid w:val="4EEF2E30"/>
    <w:rsid w:val="4EF24828"/>
    <w:rsid w:val="4EFE7F59"/>
    <w:rsid w:val="4F171C50"/>
    <w:rsid w:val="4F285975"/>
    <w:rsid w:val="4F290E6D"/>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7D78E9"/>
    <w:rsid w:val="548632AC"/>
    <w:rsid w:val="54922ECD"/>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6771"/>
    <w:rsid w:val="55F5152F"/>
    <w:rsid w:val="560B1622"/>
    <w:rsid w:val="56106284"/>
    <w:rsid w:val="562C1706"/>
    <w:rsid w:val="5632642A"/>
    <w:rsid w:val="56327A2B"/>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219CD"/>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1C599D"/>
    <w:rsid w:val="58500F22"/>
    <w:rsid w:val="585103F5"/>
    <w:rsid w:val="58587379"/>
    <w:rsid w:val="586D57A3"/>
    <w:rsid w:val="587917A0"/>
    <w:rsid w:val="587A4288"/>
    <w:rsid w:val="5880052B"/>
    <w:rsid w:val="58802568"/>
    <w:rsid w:val="588B1570"/>
    <w:rsid w:val="58AC41AA"/>
    <w:rsid w:val="58AD27D9"/>
    <w:rsid w:val="58B169A2"/>
    <w:rsid w:val="58B9636C"/>
    <w:rsid w:val="58BF1E19"/>
    <w:rsid w:val="58C37133"/>
    <w:rsid w:val="58C93046"/>
    <w:rsid w:val="58D36BCB"/>
    <w:rsid w:val="58E169DF"/>
    <w:rsid w:val="58E6349C"/>
    <w:rsid w:val="58EC037F"/>
    <w:rsid w:val="58EF63EE"/>
    <w:rsid w:val="58F525CD"/>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465E0"/>
    <w:rsid w:val="5B443F2B"/>
    <w:rsid w:val="5B5F300B"/>
    <w:rsid w:val="5B66707B"/>
    <w:rsid w:val="5B673066"/>
    <w:rsid w:val="5B785E83"/>
    <w:rsid w:val="5B7C1CD1"/>
    <w:rsid w:val="5B82056F"/>
    <w:rsid w:val="5B8E0DA3"/>
    <w:rsid w:val="5B8E27B4"/>
    <w:rsid w:val="5B9251EF"/>
    <w:rsid w:val="5BAB5BC4"/>
    <w:rsid w:val="5BB20B74"/>
    <w:rsid w:val="5BC17C0C"/>
    <w:rsid w:val="5BC677D8"/>
    <w:rsid w:val="5BD32E77"/>
    <w:rsid w:val="5BE56907"/>
    <w:rsid w:val="5BEB0120"/>
    <w:rsid w:val="5BF420D1"/>
    <w:rsid w:val="5C097C4E"/>
    <w:rsid w:val="5C127F35"/>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1155B"/>
    <w:rsid w:val="5CD8648B"/>
    <w:rsid w:val="5CDB2E8C"/>
    <w:rsid w:val="5CDB3358"/>
    <w:rsid w:val="5CED4E0C"/>
    <w:rsid w:val="5CEF1DC1"/>
    <w:rsid w:val="5CF94FAE"/>
    <w:rsid w:val="5CFA2018"/>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36B37"/>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C3887"/>
    <w:rsid w:val="61C01D80"/>
    <w:rsid w:val="61D43A2B"/>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B082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67848"/>
    <w:rsid w:val="66C955BD"/>
    <w:rsid w:val="66DC317D"/>
    <w:rsid w:val="66EB431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A266A"/>
    <w:rsid w:val="677C1A81"/>
    <w:rsid w:val="67AA1080"/>
    <w:rsid w:val="67B163D1"/>
    <w:rsid w:val="67E1247B"/>
    <w:rsid w:val="67E13178"/>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A4D44"/>
    <w:rsid w:val="6ACB082B"/>
    <w:rsid w:val="6AD3247E"/>
    <w:rsid w:val="6AF805EA"/>
    <w:rsid w:val="6B2B0EFD"/>
    <w:rsid w:val="6B2C13E4"/>
    <w:rsid w:val="6B4128F1"/>
    <w:rsid w:val="6B4B0A4C"/>
    <w:rsid w:val="6B50310B"/>
    <w:rsid w:val="6B5045E2"/>
    <w:rsid w:val="6B736A2E"/>
    <w:rsid w:val="6B8170D6"/>
    <w:rsid w:val="6B884219"/>
    <w:rsid w:val="6B90781F"/>
    <w:rsid w:val="6B974370"/>
    <w:rsid w:val="6B9C76AD"/>
    <w:rsid w:val="6BA9194F"/>
    <w:rsid w:val="6BAC41DA"/>
    <w:rsid w:val="6BAE64BE"/>
    <w:rsid w:val="6BE727F5"/>
    <w:rsid w:val="6BEE7CAA"/>
    <w:rsid w:val="6BF34791"/>
    <w:rsid w:val="6BF36ABE"/>
    <w:rsid w:val="6C240DF3"/>
    <w:rsid w:val="6C2E6123"/>
    <w:rsid w:val="6C45610F"/>
    <w:rsid w:val="6C547243"/>
    <w:rsid w:val="6C59472D"/>
    <w:rsid w:val="6C5A4564"/>
    <w:rsid w:val="6C603744"/>
    <w:rsid w:val="6C627CF4"/>
    <w:rsid w:val="6C637CCF"/>
    <w:rsid w:val="6C646F5A"/>
    <w:rsid w:val="6C7802EB"/>
    <w:rsid w:val="6C79488C"/>
    <w:rsid w:val="6C89456C"/>
    <w:rsid w:val="6CA20D5B"/>
    <w:rsid w:val="6CA41AC3"/>
    <w:rsid w:val="6CC14E69"/>
    <w:rsid w:val="6CD63FB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0323A"/>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03A20"/>
    <w:rsid w:val="6EE9744F"/>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9109F"/>
    <w:rsid w:val="6FD87CB4"/>
    <w:rsid w:val="6FDB518F"/>
    <w:rsid w:val="6FDD13A5"/>
    <w:rsid w:val="6FE529ED"/>
    <w:rsid w:val="6FF733A7"/>
    <w:rsid w:val="70003DD9"/>
    <w:rsid w:val="70072915"/>
    <w:rsid w:val="70072AC0"/>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C5E95"/>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293B62"/>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2D7836"/>
    <w:rsid w:val="7A4C2D60"/>
    <w:rsid w:val="7A6D61A5"/>
    <w:rsid w:val="7A6E4BF5"/>
    <w:rsid w:val="7A721EC3"/>
    <w:rsid w:val="7A730C57"/>
    <w:rsid w:val="7A851D5D"/>
    <w:rsid w:val="7A8A2267"/>
    <w:rsid w:val="7A9A3DF9"/>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60A24"/>
    <w:rsid w:val="7B5922B3"/>
    <w:rsid w:val="7B890A24"/>
    <w:rsid w:val="7BA37483"/>
    <w:rsid w:val="7BA47616"/>
    <w:rsid w:val="7BAA485C"/>
    <w:rsid w:val="7BAD1591"/>
    <w:rsid w:val="7BAF117E"/>
    <w:rsid w:val="7BB250E3"/>
    <w:rsid w:val="7BB31662"/>
    <w:rsid w:val="7BB37B52"/>
    <w:rsid w:val="7BB83E6C"/>
    <w:rsid w:val="7BD3716B"/>
    <w:rsid w:val="7BEC2711"/>
    <w:rsid w:val="7BF55850"/>
    <w:rsid w:val="7C1054B7"/>
    <w:rsid w:val="7C143FB0"/>
    <w:rsid w:val="7C26369C"/>
    <w:rsid w:val="7C2A465C"/>
    <w:rsid w:val="7C305879"/>
    <w:rsid w:val="7C34521A"/>
    <w:rsid w:val="7C381A5A"/>
    <w:rsid w:val="7C4A2BD1"/>
    <w:rsid w:val="7C576C70"/>
    <w:rsid w:val="7C77043F"/>
    <w:rsid w:val="7C895074"/>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A787F"/>
    <w:rsid w:val="7D3B3737"/>
    <w:rsid w:val="7D3D73AF"/>
    <w:rsid w:val="7D5B27C9"/>
    <w:rsid w:val="7D62117D"/>
    <w:rsid w:val="7D794101"/>
    <w:rsid w:val="7D7E2111"/>
    <w:rsid w:val="7D834A16"/>
    <w:rsid w:val="7D9D438F"/>
    <w:rsid w:val="7DA514D2"/>
    <w:rsid w:val="7DBE1B45"/>
    <w:rsid w:val="7DC03698"/>
    <w:rsid w:val="7DCD4EB5"/>
    <w:rsid w:val="7DEE3937"/>
    <w:rsid w:val="7E0427CB"/>
    <w:rsid w:val="7E090313"/>
    <w:rsid w:val="7E3E0FEC"/>
    <w:rsid w:val="7E3E1EF2"/>
    <w:rsid w:val="7E417270"/>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qFormat="1" w:unhideWhenUsed="0" w:uiPriority="0" w:semiHidden="0"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7"/>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6"/>
    <w:qFormat/>
    <w:uiPriority w:val="0"/>
    <w:pPr>
      <w:numPr>
        <w:ilvl w:val="2"/>
      </w:numPr>
      <w:spacing w:before="120"/>
      <w:ind w:left="0"/>
      <w:outlineLvl w:val="2"/>
    </w:pPr>
    <w:rPr>
      <w:sz w:val="24"/>
    </w:rPr>
  </w:style>
  <w:style w:type="paragraph" w:styleId="5">
    <w:name w:val="heading 4"/>
    <w:basedOn w:val="4"/>
    <w:next w:val="1"/>
    <w:link w:val="55"/>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2"/>
    <w:next w:val="1"/>
    <w:qFormat/>
    <w:uiPriority w:val="0"/>
    <w:pPr>
      <w:ind w:left="0" w:firstLine="0"/>
      <w:outlineLvl w:val="7"/>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List 3"/>
    <w:basedOn w:val="11"/>
    <w:semiHidden/>
    <w:qFormat/>
    <w:uiPriority w:val="0"/>
    <w:pPr>
      <w:ind w:left="1135"/>
    </w:pPr>
  </w:style>
  <w:style w:type="paragraph" w:styleId="11">
    <w:name w:val="List 2"/>
    <w:basedOn w:val="12"/>
    <w:semiHidden/>
    <w:qFormat/>
    <w:uiPriority w:val="0"/>
    <w:pPr>
      <w:ind w:left="851"/>
    </w:pPr>
  </w:style>
  <w:style w:type="paragraph" w:styleId="12">
    <w:name w:val="List"/>
    <w:basedOn w:val="1"/>
    <w:qFormat/>
    <w:uiPriority w:val="0"/>
    <w:pPr>
      <w:ind w:left="568" w:hanging="284"/>
    </w:pPr>
  </w:style>
  <w:style w:type="paragraph" w:styleId="13">
    <w:name w:val="caption"/>
    <w:basedOn w:val="1"/>
    <w:next w:val="1"/>
    <w:qFormat/>
    <w:uiPriority w:val="0"/>
    <w:pPr>
      <w:overflowPunct w:val="0"/>
      <w:autoSpaceDE w:val="0"/>
      <w:autoSpaceDN w:val="0"/>
      <w:adjustRightInd w:val="0"/>
      <w:spacing w:before="120" w:after="120"/>
      <w:textAlignment w:val="baseline"/>
    </w:pPr>
    <w:rPr>
      <w:b/>
    </w:rPr>
  </w:style>
  <w:style w:type="paragraph" w:styleId="14">
    <w:name w:val="Document Map"/>
    <w:basedOn w:val="1"/>
    <w:link w:val="43"/>
    <w:semiHidden/>
    <w:unhideWhenUsed/>
    <w:qFormat/>
    <w:uiPriority w:val="99"/>
    <w:rPr>
      <w:rFonts w:ascii="宋体"/>
      <w:sz w:val="18"/>
      <w:szCs w:val="18"/>
    </w:rPr>
  </w:style>
  <w:style w:type="paragraph" w:styleId="15">
    <w:name w:val="annotation text"/>
    <w:basedOn w:val="1"/>
    <w:link w:val="44"/>
    <w:unhideWhenUsed/>
    <w:qFormat/>
    <w:uiPriority w:val="0"/>
    <w:pPr>
      <w:spacing w:before="120" w:after="120"/>
      <w:jc w:val="left"/>
    </w:pPr>
  </w:style>
  <w:style w:type="paragraph" w:styleId="16">
    <w:name w:val="toc 3"/>
    <w:basedOn w:val="1"/>
    <w:next w:val="1"/>
    <w:unhideWhenUsed/>
    <w:qFormat/>
    <w:uiPriority w:val="39"/>
    <w:pPr>
      <w:adjustRightInd w:val="0"/>
      <w:ind w:left="1282" w:leftChars="400" w:hanging="442" w:hangingChars="200"/>
    </w:pPr>
    <w:rPr>
      <w:b/>
      <w:i/>
      <w:sz w:val="20"/>
    </w:rPr>
  </w:style>
  <w:style w:type="paragraph" w:styleId="17">
    <w:name w:val="Balloon Text"/>
    <w:basedOn w:val="1"/>
    <w:link w:val="32"/>
    <w:semiHidden/>
    <w:unhideWhenUsed/>
    <w:qFormat/>
    <w:uiPriority w:val="99"/>
    <w:pPr>
      <w:spacing w:line="240" w:lineRule="auto"/>
    </w:pPr>
    <w:rPr>
      <w:sz w:val="18"/>
      <w:szCs w:val="18"/>
    </w:rPr>
  </w:style>
  <w:style w:type="paragraph" w:styleId="18">
    <w:name w:val="footer"/>
    <w:basedOn w:val="1"/>
    <w:link w:val="41"/>
    <w:unhideWhenUsed/>
    <w:qFormat/>
    <w:uiPriority w:val="0"/>
    <w:pPr>
      <w:tabs>
        <w:tab w:val="center" w:pos="4153"/>
        <w:tab w:val="right" w:pos="8306"/>
      </w:tabs>
      <w:snapToGrid w:val="0"/>
      <w:jc w:val="left"/>
    </w:pPr>
    <w:rPr>
      <w:sz w:val="18"/>
      <w:szCs w:val="18"/>
    </w:rPr>
  </w:style>
  <w:style w:type="paragraph" w:styleId="19">
    <w:name w:val="header"/>
    <w:basedOn w:val="1"/>
    <w:link w:val="40"/>
    <w:semiHidden/>
    <w:qFormat/>
    <w:uiPriority w:val="0"/>
    <w:pPr>
      <w:tabs>
        <w:tab w:val="center" w:pos="4680"/>
        <w:tab w:val="right" w:pos="9360"/>
      </w:tabs>
      <w:spacing w:line="240" w:lineRule="auto"/>
    </w:pPr>
  </w:style>
  <w:style w:type="paragraph" w:styleId="20">
    <w:name w:val="toc 1"/>
    <w:basedOn w:val="1"/>
    <w:next w:val="1"/>
    <w:unhideWhenUsed/>
    <w:qFormat/>
    <w:uiPriority w:val="39"/>
    <w:rPr>
      <w:rFonts w:eastAsiaTheme="minorEastAsia"/>
      <w:b/>
      <w:i/>
      <w:sz w:val="20"/>
    </w:rPr>
  </w:style>
  <w:style w:type="paragraph" w:styleId="21">
    <w:name w:val="table of figures"/>
    <w:basedOn w:val="1"/>
    <w:next w:val="1"/>
    <w:semiHidden/>
    <w:unhideWhenUsed/>
    <w:qFormat/>
    <w:uiPriority w:val="99"/>
    <w:pPr>
      <w:ind w:left="200" w:leftChars="200" w:hanging="200" w:hangingChars="200"/>
    </w:pPr>
  </w:style>
  <w:style w:type="paragraph" w:styleId="22">
    <w:name w:val="toc 2"/>
    <w:basedOn w:val="1"/>
    <w:next w:val="1"/>
    <w:unhideWhenUsed/>
    <w:qFormat/>
    <w:uiPriority w:val="39"/>
    <w:pPr>
      <w:ind w:left="420" w:leftChars="200"/>
    </w:pPr>
    <w:rPr>
      <w:b/>
      <w:i/>
      <w:sz w:val="20"/>
    </w:rPr>
  </w:style>
  <w:style w:type="paragraph" w:styleId="23">
    <w:name w:val="Normal (Web)"/>
    <w:basedOn w:val="1"/>
    <w:semiHidden/>
    <w:unhideWhenUsed/>
    <w:qFormat/>
    <w:uiPriority w:val="99"/>
    <w:pPr>
      <w:spacing w:beforeAutospacing="1" w:afterAutospacing="1"/>
      <w:jc w:val="left"/>
    </w:pPr>
    <w:rPr>
      <w:kern w:val="0"/>
      <w:sz w:val="24"/>
    </w:rPr>
  </w:style>
  <w:style w:type="paragraph" w:styleId="24">
    <w:name w:val="annotation subject"/>
    <w:basedOn w:val="15"/>
    <w:next w:val="15"/>
    <w:link w:val="45"/>
    <w:semiHidden/>
    <w:unhideWhenUsed/>
    <w:qFormat/>
    <w:uiPriority w:val="99"/>
    <w:rPr>
      <w:b/>
      <w:bCs/>
    </w:rPr>
  </w:style>
  <w:style w:type="table" w:styleId="26">
    <w:name w:val="Table Grid"/>
    <w:basedOn w:val="2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Emphasis"/>
    <w:basedOn w:val="27"/>
    <w:qFormat/>
    <w:uiPriority w:val="20"/>
    <w:rPr>
      <w:i/>
    </w:rPr>
  </w:style>
  <w:style w:type="character" w:styleId="30">
    <w:name w:val="Hyperlink"/>
    <w:qFormat/>
    <w:uiPriority w:val="99"/>
    <w:rPr>
      <w:color w:val="0000FF"/>
      <w:u w:val="single"/>
    </w:rPr>
  </w:style>
  <w:style w:type="character" w:styleId="31">
    <w:name w:val="annotation reference"/>
    <w:basedOn w:val="27"/>
    <w:unhideWhenUsed/>
    <w:qFormat/>
    <w:uiPriority w:val="0"/>
    <w:rPr>
      <w:sz w:val="16"/>
      <w:szCs w:val="16"/>
    </w:rPr>
  </w:style>
  <w:style w:type="character" w:customStyle="1" w:styleId="32">
    <w:name w:val="批注框文本 Char"/>
    <w:basedOn w:val="27"/>
    <w:link w:val="17"/>
    <w:semiHidden/>
    <w:qFormat/>
    <w:uiPriority w:val="99"/>
    <w:rPr>
      <w:kern w:val="2"/>
      <w:sz w:val="18"/>
      <w:szCs w:val="18"/>
    </w:rPr>
  </w:style>
  <w:style w:type="paragraph" w:customStyle="1" w:styleId="33">
    <w:name w:val="YJ-Proposal"/>
    <w:basedOn w:val="1"/>
    <w:qFormat/>
    <w:uiPriority w:val="0"/>
    <w:pPr>
      <w:numPr>
        <w:ilvl w:val="0"/>
        <w:numId w:val="2"/>
      </w:numPr>
    </w:pPr>
    <w:rPr>
      <w:rFonts w:eastAsiaTheme="minorEastAsia"/>
      <w:b/>
      <w:bCs/>
      <w:i/>
      <w:iCs/>
      <w:sz w:val="20"/>
      <w:lang w:val="en-GB" w:eastAsia="en-US"/>
    </w:rPr>
  </w:style>
  <w:style w:type="paragraph" w:customStyle="1" w:styleId="34">
    <w:name w:val="YJ-Observation"/>
    <w:basedOn w:val="33"/>
    <w:qFormat/>
    <w:uiPriority w:val="0"/>
    <w:pPr>
      <w:numPr>
        <w:ilvl w:val="0"/>
        <w:numId w:val="3"/>
      </w:numPr>
      <w:tabs>
        <w:tab w:val="left" w:pos="420"/>
      </w:tabs>
    </w:pPr>
  </w:style>
  <w:style w:type="paragraph" w:customStyle="1" w:styleId="35">
    <w:name w:val="References"/>
    <w:basedOn w:val="1"/>
    <w:qFormat/>
    <w:uiPriority w:val="0"/>
    <w:pPr>
      <w:numPr>
        <w:ilvl w:val="0"/>
        <w:numId w:val="4"/>
      </w:numPr>
      <w:spacing w:after="60"/>
    </w:pPr>
    <w:rPr>
      <w:szCs w:val="16"/>
    </w:rPr>
  </w:style>
  <w:style w:type="paragraph" w:styleId="36">
    <w:name w:val="List Paragraph"/>
    <w:basedOn w:val="1"/>
    <w:link w:val="70"/>
    <w:qFormat/>
    <w:uiPriority w:val="34"/>
    <w:pPr>
      <w:spacing w:beforeLines="0" w:line="240" w:lineRule="auto"/>
      <w:ind w:left="720"/>
      <w:contextualSpacing/>
    </w:pPr>
    <w:rPr>
      <w:rFonts w:eastAsia="Times New Roman"/>
      <w:sz w:val="24"/>
      <w:szCs w:val="24"/>
    </w:rPr>
  </w:style>
  <w:style w:type="paragraph" w:customStyle="1" w:styleId="37">
    <w:name w:val="sub-proposal"/>
    <w:basedOn w:val="33"/>
    <w:next w:val="1"/>
    <w:qFormat/>
    <w:uiPriority w:val="0"/>
    <w:pPr>
      <w:numPr>
        <w:numId w:val="5"/>
      </w:numPr>
      <w:tabs>
        <w:tab w:val="left" w:pos="807"/>
      </w:tabs>
    </w:pPr>
  </w:style>
  <w:style w:type="paragraph" w:customStyle="1" w:styleId="38">
    <w:name w:val="样式1"/>
    <w:basedOn w:val="1"/>
    <w:qFormat/>
    <w:uiPriority w:val="0"/>
  </w:style>
  <w:style w:type="paragraph" w:customStyle="1" w:styleId="39">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0">
    <w:name w:val="页眉 Char"/>
    <w:basedOn w:val="27"/>
    <w:link w:val="19"/>
    <w:semiHidden/>
    <w:qFormat/>
    <w:uiPriority w:val="0"/>
    <w:rPr>
      <w:rFonts w:eastAsia="宋体"/>
      <w:kern w:val="2"/>
      <w:sz w:val="21"/>
    </w:rPr>
  </w:style>
  <w:style w:type="character" w:customStyle="1" w:styleId="41">
    <w:name w:val="页脚 Char"/>
    <w:basedOn w:val="27"/>
    <w:link w:val="18"/>
    <w:qFormat/>
    <w:uiPriority w:val="99"/>
    <w:rPr>
      <w:rFonts w:eastAsia="宋体"/>
      <w:kern w:val="2"/>
      <w:sz w:val="18"/>
      <w:szCs w:val="18"/>
    </w:rPr>
  </w:style>
  <w:style w:type="paragraph" w:customStyle="1" w:styleId="42">
    <w:name w:val="YJ--正文"/>
    <w:basedOn w:val="1"/>
    <w:qFormat/>
    <w:uiPriority w:val="0"/>
    <w:pPr>
      <w:spacing w:before="50" w:after="50" w:line="240" w:lineRule="auto"/>
    </w:pPr>
    <w:rPr>
      <w:rFonts w:eastAsia="Times New Roman" w:cs="宋体"/>
      <w:sz w:val="20"/>
    </w:rPr>
  </w:style>
  <w:style w:type="character" w:customStyle="1" w:styleId="43">
    <w:name w:val="文档结构图 Char"/>
    <w:basedOn w:val="27"/>
    <w:link w:val="14"/>
    <w:semiHidden/>
    <w:qFormat/>
    <w:uiPriority w:val="99"/>
    <w:rPr>
      <w:rFonts w:ascii="宋体"/>
      <w:kern w:val="2"/>
      <w:sz w:val="18"/>
      <w:szCs w:val="18"/>
    </w:rPr>
  </w:style>
  <w:style w:type="character" w:customStyle="1" w:styleId="44">
    <w:name w:val="批注文字 Char"/>
    <w:basedOn w:val="27"/>
    <w:link w:val="15"/>
    <w:qFormat/>
    <w:uiPriority w:val="0"/>
    <w:rPr>
      <w:rFonts w:eastAsia="宋体"/>
      <w:kern w:val="2"/>
      <w:sz w:val="21"/>
    </w:rPr>
  </w:style>
  <w:style w:type="character" w:customStyle="1" w:styleId="45">
    <w:name w:val="批注主题 Char"/>
    <w:basedOn w:val="44"/>
    <w:link w:val="24"/>
    <w:qFormat/>
    <w:uiPriority w:val="0"/>
    <w:rPr>
      <w:rFonts w:eastAsia="宋体"/>
      <w:kern w:val="2"/>
      <w:sz w:val="21"/>
    </w:rPr>
  </w:style>
  <w:style w:type="paragraph" w:customStyle="1" w:styleId="46">
    <w:name w:val="subullet"/>
    <w:basedOn w:val="1"/>
    <w:qFormat/>
    <w:uiPriority w:val="0"/>
    <w:pPr>
      <w:numPr>
        <w:ilvl w:val="1"/>
        <w:numId w:val="2"/>
      </w:numPr>
      <w:spacing w:before="50" w:after="50"/>
    </w:pPr>
    <w:rPr>
      <w:rFonts w:hint="eastAsia" w:eastAsiaTheme="minorEastAsia"/>
      <w:b/>
      <w:bCs/>
      <w:i/>
      <w:iCs/>
      <w:sz w:val="20"/>
    </w:rPr>
  </w:style>
  <w:style w:type="paragraph" w:customStyle="1" w:styleId="47">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8">
    <w:name w:val="3rd level proposal"/>
    <w:basedOn w:val="37"/>
    <w:next w:val="1"/>
    <w:qFormat/>
    <w:uiPriority w:val="0"/>
    <w:pPr>
      <w:numPr>
        <w:ilvl w:val="0"/>
        <w:numId w:val="6"/>
      </w:numPr>
      <w:ind w:left="1282" w:leftChars="400" w:hanging="442" w:hangingChars="200"/>
      <w:jc w:val="left"/>
    </w:pPr>
  </w:style>
  <w:style w:type="paragraph" w:customStyle="1" w:styleId="49">
    <w:name w:val="B1"/>
    <w:basedOn w:val="12"/>
    <w:link w:val="63"/>
    <w:qFormat/>
    <w:uiPriority w:val="0"/>
  </w:style>
  <w:style w:type="paragraph" w:customStyle="1" w:styleId="50">
    <w:name w:val="B3"/>
    <w:basedOn w:val="10"/>
    <w:qFormat/>
    <w:uiPriority w:val="0"/>
    <w:pPr>
      <w:ind w:left="1135" w:hanging="284"/>
    </w:pPr>
  </w:style>
  <w:style w:type="character" w:styleId="51">
    <w:name w:val="Placeholder Text"/>
    <w:basedOn w:val="27"/>
    <w:semiHidden/>
    <w:qFormat/>
    <w:uiPriority w:val="99"/>
    <w:rPr>
      <w:color w:val="808080"/>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11"/>
    <w:qFormat/>
    <w:uiPriority w:val="0"/>
    <w:pPr>
      <w:ind w:left="851" w:hanging="284"/>
    </w:pPr>
    <w:rPr>
      <w:lang w:val="zh-CN"/>
    </w:rPr>
  </w:style>
  <w:style w:type="paragraph" w:customStyle="1" w:styleId="54">
    <w:name w:val="B4"/>
    <w:basedOn w:val="1"/>
    <w:qFormat/>
    <w:uiPriority w:val="0"/>
    <w:pPr>
      <w:ind w:left="1418" w:hanging="284"/>
    </w:pPr>
  </w:style>
  <w:style w:type="character" w:customStyle="1" w:styleId="55">
    <w:name w:val="标题 4 Char"/>
    <w:basedOn w:val="27"/>
    <w:link w:val="5"/>
    <w:qFormat/>
    <w:uiPriority w:val="0"/>
    <w:rPr>
      <w:rFonts w:ascii="Arial" w:hAnsi="Arial" w:eastAsia="MS Mincho"/>
      <w:kern w:val="2"/>
      <w:sz w:val="24"/>
    </w:rPr>
  </w:style>
  <w:style w:type="character" w:customStyle="1" w:styleId="56">
    <w:name w:val="标题 3 Char"/>
    <w:basedOn w:val="27"/>
    <w:link w:val="4"/>
    <w:qFormat/>
    <w:uiPriority w:val="0"/>
    <w:rPr>
      <w:rFonts w:ascii="Arial" w:hAnsi="Arial" w:eastAsia="MS Mincho"/>
      <w:kern w:val="2"/>
      <w:sz w:val="24"/>
    </w:rPr>
  </w:style>
  <w:style w:type="character" w:customStyle="1" w:styleId="57">
    <w:name w:val="标题 2 Char"/>
    <w:basedOn w:val="27"/>
    <w:link w:val="3"/>
    <w:qFormat/>
    <w:uiPriority w:val="0"/>
    <w:rPr>
      <w:rFonts w:ascii="Arial" w:hAnsi="Arial" w:eastAsia="MS Mincho"/>
      <w:kern w:val="2"/>
      <w:sz w:val="2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C"/>
    <w:basedOn w:val="60"/>
    <w:link w:val="68"/>
    <w:qFormat/>
    <w:uiPriority w:val="0"/>
    <w:pPr>
      <w:jc w:val="center"/>
    </w:pPr>
  </w:style>
  <w:style w:type="paragraph" w:customStyle="1" w:styleId="60">
    <w:name w:val="TAL"/>
    <w:basedOn w:val="1"/>
    <w:link w:val="69"/>
    <w:qFormat/>
    <w:uiPriority w:val="0"/>
    <w:pPr>
      <w:keepNext/>
      <w:keepLines/>
    </w:pPr>
    <w:rPr>
      <w:rFonts w:ascii="Arial" w:hAnsi="Arial"/>
      <w:sz w:val="18"/>
    </w:rPr>
  </w:style>
  <w:style w:type="paragraph" w:customStyle="1" w:styleId="61">
    <w:name w:val="B5"/>
    <w:basedOn w:val="1"/>
    <w:qFormat/>
    <w:uiPriority w:val="0"/>
    <w:pPr>
      <w:ind w:left="1702" w:hanging="284"/>
    </w:pPr>
  </w:style>
  <w:style w:type="character" w:customStyle="1" w:styleId="62">
    <w:name w:val="首标题"/>
    <w:qFormat/>
    <w:uiPriority w:val="0"/>
    <w:rPr>
      <w:rFonts w:ascii="Arial" w:hAnsi="Arial" w:eastAsia="宋体"/>
      <w:sz w:val="24"/>
    </w:rPr>
  </w:style>
  <w:style w:type="character" w:customStyle="1" w:styleId="63">
    <w:name w:val="B1 Char1"/>
    <w:link w:val="49"/>
    <w:qFormat/>
    <w:uiPriority w:val="0"/>
    <w:rPr>
      <w:kern w:val="2"/>
      <w:sz w:val="21"/>
    </w:rPr>
  </w:style>
  <w:style w:type="character" w:customStyle="1" w:styleId="64">
    <w:name w:val="NO Char"/>
    <w:link w:val="65"/>
    <w:qFormat/>
    <w:uiPriority w:val="0"/>
    <w:rPr>
      <w:lang w:val="en-GB" w:eastAsia="en-US"/>
    </w:rPr>
  </w:style>
  <w:style w:type="paragraph" w:customStyle="1" w:styleId="65">
    <w:name w:val="NO"/>
    <w:basedOn w:val="1"/>
    <w:link w:val="64"/>
    <w:qFormat/>
    <w:uiPriority w:val="0"/>
    <w:pPr>
      <w:keepLines/>
      <w:spacing w:beforeLines="0" w:afterLines="0" w:line="240" w:lineRule="auto"/>
      <w:ind w:left="1135" w:hanging="851"/>
      <w:jc w:val="left"/>
    </w:pPr>
    <w:rPr>
      <w:kern w:val="0"/>
      <w:sz w:val="20"/>
      <w:lang w:val="en-GB" w:eastAsia="en-US"/>
    </w:rPr>
  </w:style>
  <w:style w:type="character" w:customStyle="1" w:styleId="66">
    <w:name w:val="TAH Car"/>
    <w:link w:val="67"/>
    <w:qFormat/>
    <w:locked/>
    <w:uiPriority w:val="0"/>
    <w:rPr>
      <w:rFonts w:ascii="Arial" w:hAnsi="Arial"/>
      <w:b/>
      <w:sz w:val="18"/>
      <w:lang w:val="en-GB" w:eastAsia="en-US"/>
    </w:rPr>
  </w:style>
  <w:style w:type="paragraph" w:customStyle="1" w:styleId="67">
    <w:name w:val="TAH"/>
    <w:basedOn w:val="59"/>
    <w:link w:val="66"/>
    <w:qFormat/>
    <w:uiPriority w:val="0"/>
    <w:pPr>
      <w:spacing w:beforeLines="0" w:afterLines="0" w:line="240" w:lineRule="auto"/>
    </w:pPr>
    <w:rPr>
      <w:b/>
      <w:kern w:val="0"/>
      <w:lang w:val="en-GB" w:eastAsia="en-US"/>
    </w:rPr>
  </w:style>
  <w:style w:type="character" w:customStyle="1" w:styleId="68">
    <w:name w:val="TAC Char"/>
    <w:link w:val="59"/>
    <w:qFormat/>
    <w:locked/>
    <w:uiPriority w:val="0"/>
    <w:rPr>
      <w:rFonts w:ascii="Arial" w:hAnsi="Arial"/>
      <w:kern w:val="2"/>
      <w:sz w:val="18"/>
    </w:rPr>
  </w:style>
  <w:style w:type="character" w:customStyle="1" w:styleId="69">
    <w:name w:val="TAL Car"/>
    <w:link w:val="60"/>
    <w:qFormat/>
    <w:uiPriority w:val="0"/>
    <w:rPr>
      <w:rFonts w:ascii="Arial" w:hAnsi="Arial"/>
      <w:kern w:val="2"/>
      <w:sz w:val="18"/>
    </w:rPr>
  </w:style>
  <w:style w:type="character" w:customStyle="1" w:styleId="70">
    <w:name w:val="列出段落 Char"/>
    <w:link w:val="36"/>
    <w:qFormat/>
    <w:locked/>
    <w:uiPriority w:val="34"/>
    <w:rPr>
      <w:rFonts w:eastAsia="Times New Roman"/>
      <w:kern w:val="2"/>
      <w:sz w:val="24"/>
      <w:szCs w:val="24"/>
    </w:rPr>
  </w:style>
  <w:style w:type="paragraph" w:customStyle="1" w:styleId="71">
    <w:name w:val="修订1"/>
    <w:hidden/>
    <w:semiHidden/>
    <w:qFormat/>
    <w:uiPriority w:val="99"/>
    <w:rPr>
      <w:rFonts w:ascii="Times New Roman" w:hAnsi="Times New Roman" w:eastAsia="宋体" w:cs="Times New Roman"/>
      <w:kern w:val="2"/>
      <w:sz w:val="21"/>
      <w:lang w:val="en-US" w:eastAsia="zh-CN" w:bidi="ar-SA"/>
    </w:rPr>
  </w:style>
  <w:style w:type="paragraph" w:customStyle="1" w:styleId="72">
    <w:name w:val="TAN"/>
    <w:basedOn w:val="60"/>
    <w:qFormat/>
    <w:uiPriority w:val="0"/>
    <w:pPr>
      <w:ind w:left="851" w:hanging="851"/>
    </w:pPr>
  </w:style>
  <w:style w:type="character" w:customStyle="1" w:styleId="73">
    <w:name w:val="font4"/>
    <w:basedOn w:val="27"/>
    <w:qFormat/>
    <w:uiPriority w:val="0"/>
  </w:style>
  <w:style w:type="paragraph" w:customStyle="1" w:styleId="74">
    <w:name w:val="样式 页眉"/>
    <w:basedOn w:val="19"/>
    <w:qFormat/>
    <w:uiPriority w:val="0"/>
    <w:rPr>
      <w:rFonts w:eastAsia="Arial"/>
      <w:bCs/>
      <w:sz w:val="22"/>
    </w:rPr>
  </w:style>
  <w:style w:type="paragraph" w:customStyle="1" w:styleId="75">
    <w:name w:val="CR Cover Page"/>
    <w:qFormat/>
    <w:uiPriority w:val="0"/>
    <w:pPr>
      <w:spacing w:after="120"/>
    </w:pPr>
    <w:rPr>
      <w:rFonts w:ascii="Arial" w:hAnsi="Arial" w:eastAsia="Times New Roman" w:cs="Times New Roman"/>
      <w:lang w:val="en-GB" w:eastAsia="en-US" w:bidi="ar-SA"/>
    </w:rPr>
  </w:style>
  <w:style w:type="character" w:customStyle="1" w:styleId="76">
    <w:name w:val="10"/>
    <w:basedOn w:val="27"/>
    <w:qFormat/>
    <w:uiPriority w:val="0"/>
    <w:rPr>
      <w:rFonts w:hint="default" w:ascii="Times New Roman" w:hAnsi="Times New Roman" w:cs="Times New Roman"/>
    </w:rPr>
  </w:style>
  <w:style w:type="character" w:customStyle="1" w:styleId="77">
    <w:name w:val="15"/>
    <w:basedOn w:val="27"/>
    <w:qFormat/>
    <w:uiPriority w:val="0"/>
    <w:rPr>
      <w:rFonts w:hint="default" w:ascii="Times New Roman" w:hAnsi="Times New Roman" w:cs="Times New Roman"/>
    </w:rPr>
  </w:style>
  <w:style w:type="paragraph" w:customStyle="1" w:styleId="78">
    <w:name w:val="列出段落1"/>
    <w:basedOn w:val="1"/>
    <w:qFormat/>
    <w:uiPriority w:val="0"/>
    <w:pPr>
      <w:spacing w:after="180"/>
      <w:ind w:firstLine="420" w:firstLineChars="200"/>
      <w:jc w:val="left"/>
    </w:pPr>
    <w:rPr>
      <w:kern w:val="0"/>
    </w:rPr>
  </w:style>
  <w:style w:type="paragraph" w:customStyle="1" w:styleId="79">
    <w:name w:val="TF"/>
    <w:basedOn w:val="58"/>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png"/><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3</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2024-11-08T12:50:31Z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